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1A" w:rsidRPr="0030431A" w:rsidRDefault="00F902AA" w:rsidP="0030431A">
      <w:pPr>
        <w:pStyle w:val="NormalWeb"/>
        <w:pBdr>
          <w:bottom w:val="single" w:sz="12" w:space="1" w:color="auto"/>
        </w:pBdr>
        <w:spacing w:line="360" w:lineRule="auto"/>
        <w:jc w:val="center"/>
        <w:rPr>
          <w:rFonts w:ascii="Arial" w:hAnsi="Arial" w:cs="Arial"/>
          <w:b/>
          <w:sz w:val="28"/>
          <w:szCs w:val="28"/>
        </w:rPr>
      </w:pPr>
      <w:r>
        <w:rPr>
          <w:rFonts w:ascii="Arial" w:hAnsi="Arial" w:cs="Arial"/>
          <w:noProof/>
          <w:sz w:val="28"/>
          <w:szCs w:val="28"/>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F359F3" w:rsidRPr="0030431A" w:rsidRDefault="00F174DB" w:rsidP="00F359F3">
      <w:pPr>
        <w:pStyle w:val="NormalWeb"/>
        <w:pBdr>
          <w:bottom w:val="single" w:sz="12" w:space="1" w:color="auto"/>
        </w:pBdr>
        <w:spacing w:line="360" w:lineRule="auto"/>
        <w:rPr>
          <w:rFonts w:ascii="Arial" w:hAnsi="Arial" w:cs="Arial"/>
          <w:b/>
          <w:sz w:val="28"/>
          <w:szCs w:val="28"/>
        </w:rPr>
      </w:pPr>
      <w:r w:rsidRPr="0030431A">
        <w:rPr>
          <w:rFonts w:ascii="Arial" w:hAnsi="Arial" w:cs="Arial"/>
          <w:b/>
          <w:sz w:val="28"/>
          <w:szCs w:val="28"/>
        </w:rPr>
        <w:t xml:space="preserve">PROPUESTA </w:t>
      </w:r>
      <w:r w:rsidR="0030431A" w:rsidRPr="0030431A">
        <w:rPr>
          <w:rFonts w:ascii="Arial" w:hAnsi="Arial" w:cs="Arial"/>
          <w:b/>
          <w:sz w:val="28"/>
          <w:szCs w:val="28"/>
        </w:rPr>
        <w:t xml:space="preserve">DEL CERMI </w:t>
      </w:r>
      <w:r w:rsidRPr="0030431A">
        <w:rPr>
          <w:rFonts w:ascii="Arial" w:hAnsi="Arial" w:cs="Arial"/>
          <w:b/>
          <w:sz w:val="28"/>
          <w:szCs w:val="28"/>
        </w:rPr>
        <w:t xml:space="preserve">PARA MEJORAR EL RÉGIMEN DE COMPATIBILIDAD DE </w:t>
      </w:r>
      <w:smartTag w:uri="urn:schemas-microsoft-com:office:smarttags" w:element="PersonName">
        <w:smartTagPr>
          <w:attr w:name="ProductID" w:val="LA PENSIÓN NO"/>
        </w:smartTagPr>
        <w:r w:rsidRPr="0030431A">
          <w:rPr>
            <w:rFonts w:ascii="Arial" w:hAnsi="Arial" w:cs="Arial"/>
            <w:b/>
            <w:sz w:val="28"/>
            <w:szCs w:val="28"/>
          </w:rPr>
          <w:t>LA PENSIÓN NO</w:t>
        </w:r>
      </w:smartTag>
      <w:r w:rsidRPr="0030431A">
        <w:rPr>
          <w:rFonts w:ascii="Arial" w:hAnsi="Arial" w:cs="Arial"/>
          <w:b/>
          <w:sz w:val="28"/>
          <w:szCs w:val="28"/>
        </w:rPr>
        <w:t xml:space="preserve"> CONTRIBUTIVA DE </w:t>
      </w:r>
      <w:r w:rsidR="0030431A">
        <w:rPr>
          <w:rFonts w:ascii="Arial" w:hAnsi="Arial" w:cs="Arial"/>
          <w:b/>
          <w:sz w:val="28"/>
          <w:szCs w:val="28"/>
        </w:rPr>
        <w:t xml:space="preserve">INCAPACIDAD </w:t>
      </w:r>
      <w:r w:rsidRPr="0030431A">
        <w:rPr>
          <w:rFonts w:ascii="Arial" w:hAnsi="Arial" w:cs="Arial"/>
          <w:b/>
          <w:sz w:val="28"/>
          <w:szCs w:val="28"/>
        </w:rPr>
        <w:t>CON EL TRABAJO</w:t>
      </w:r>
      <w:r w:rsidR="0030431A" w:rsidRPr="0030431A">
        <w:rPr>
          <w:rFonts w:ascii="Arial" w:hAnsi="Arial" w:cs="Arial"/>
          <w:b/>
          <w:sz w:val="28"/>
          <w:szCs w:val="28"/>
        </w:rPr>
        <w:t xml:space="preserve"> O LA ACTIVIDAD GENERADORA DE INGRESOS</w:t>
      </w:r>
    </w:p>
    <w:p w:rsidR="00037891" w:rsidRPr="0030431A" w:rsidRDefault="00037891" w:rsidP="00037891">
      <w:pPr>
        <w:pStyle w:val="Encabezado"/>
        <w:spacing w:line="360" w:lineRule="auto"/>
        <w:jc w:val="both"/>
        <w:rPr>
          <w:rFonts w:ascii="Arial" w:hAnsi="Arial" w:cs="Arial"/>
          <w:b/>
          <w:bCs/>
          <w:sz w:val="28"/>
          <w:szCs w:val="28"/>
          <w:u w:val="single"/>
          <w:lang w:val="es-ES"/>
        </w:rPr>
      </w:pPr>
      <w:r w:rsidRPr="0030431A">
        <w:rPr>
          <w:rFonts w:ascii="Arial" w:hAnsi="Arial" w:cs="Arial"/>
          <w:b/>
          <w:bCs/>
          <w:sz w:val="28"/>
          <w:szCs w:val="28"/>
          <w:u w:val="single"/>
          <w:lang w:val="es-ES"/>
        </w:rPr>
        <w:t>Justificación</w:t>
      </w:r>
    </w:p>
    <w:p w:rsidR="00037891" w:rsidRPr="0030431A" w:rsidRDefault="00037891" w:rsidP="00037891">
      <w:pPr>
        <w:pStyle w:val="Body1"/>
        <w:spacing w:line="360" w:lineRule="auto"/>
        <w:jc w:val="both"/>
        <w:rPr>
          <w:rFonts w:cs="Arial"/>
          <w:color w:val="auto"/>
          <w:sz w:val="28"/>
          <w:szCs w:val="28"/>
        </w:rPr>
      </w:pPr>
      <w:r w:rsidRPr="0030431A">
        <w:rPr>
          <w:rFonts w:cs="Arial"/>
          <w:color w:val="auto"/>
          <w:sz w:val="28"/>
          <w:szCs w:val="28"/>
        </w:rPr>
        <w:t xml:space="preserve">Su objetivo es promover que el Sistema de Seguridad Social no supongan trabas para la activación y por tanto el acceso al empleo, tanto por cuenta propia como ajena, de de las personas con discapacidad, y que al mismo tiempo estimule, compatibilizándolas en su caso, el tránsito de medidas pasivas a medidas activas. Así, se incentiva también el emprendimiento de las personas que cobran estas pensiones. De esta forma las personas pasarían de ser únicamente perceptores a ser también contribuyentes fiscales y cotizantes a </w:t>
      </w:r>
      <w:smartTag w:uri="urn:schemas-microsoft-com:office:smarttags" w:element="PersonName">
        <w:smartTagPr>
          <w:attr w:name="ProductID" w:val="la Seguridad Social."/>
        </w:smartTagPr>
        <w:r w:rsidRPr="0030431A">
          <w:rPr>
            <w:rFonts w:cs="Arial"/>
            <w:color w:val="auto"/>
            <w:sz w:val="28"/>
            <w:szCs w:val="28"/>
          </w:rPr>
          <w:t>la Seguridad Social.</w:t>
        </w:r>
      </w:smartTag>
      <w:r w:rsidRPr="0030431A">
        <w:rPr>
          <w:rFonts w:cs="Arial"/>
          <w:color w:val="auto"/>
          <w:sz w:val="28"/>
          <w:szCs w:val="28"/>
        </w:rPr>
        <w:t xml:space="preserve"> As</w:t>
      </w:r>
      <w:r w:rsidR="0030431A" w:rsidRPr="0030431A">
        <w:rPr>
          <w:rFonts w:cs="Arial"/>
          <w:color w:val="auto"/>
          <w:sz w:val="28"/>
          <w:szCs w:val="28"/>
        </w:rPr>
        <w:t>i</w:t>
      </w:r>
      <w:r w:rsidRPr="0030431A">
        <w:rPr>
          <w:rFonts w:cs="Arial"/>
          <w:color w:val="auto"/>
          <w:sz w:val="28"/>
          <w:szCs w:val="28"/>
        </w:rPr>
        <w:t>mismo, se incentiva la activación de dichas personas, mejorando también la situación de los perceptores cuando participen en acciones de inserción laboral a través de prácticas o becas, sin que exista relación laboral, ya que dichos programas son un medio muy válido para incorporarse al mercado laboral.</w:t>
      </w:r>
    </w:p>
    <w:p w:rsidR="00037891" w:rsidRPr="0030431A" w:rsidRDefault="00037891" w:rsidP="00037891">
      <w:pPr>
        <w:pStyle w:val="Body1"/>
        <w:spacing w:line="360" w:lineRule="auto"/>
        <w:jc w:val="both"/>
        <w:rPr>
          <w:rFonts w:cs="Arial"/>
          <w:color w:val="auto"/>
          <w:sz w:val="28"/>
          <w:szCs w:val="28"/>
        </w:rPr>
      </w:pPr>
    </w:p>
    <w:p w:rsidR="00037891" w:rsidRPr="0030431A" w:rsidRDefault="00037891" w:rsidP="00037891">
      <w:pPr>
        <w:pStyle w:val="Body1"/>
        <w:spacing w:line="360" w:lineRule="auto"/>
        <w:jc w:val="both"/>
        <w:rPr>
          <w:rFonts w:cs="Arial"/>
          <w:color w:val="auto"/>
          <w:sz w:val="28"/>
          <w:szCs w:val="28"/>
        </w:rPr>
      </w:pPr>
      <w:r w:rsidRPr="0030431A">
        <w:rPr>
          <w:rFonts w:cs="Arial"/>
          <w:color w:val="auto"/>
          <w:sz w:val="28"/>
          <w:szCs w:val="28"/>
        </w:rPr>
        <w:t xml:space="preserve">Para ello, se ha de mejorar </w:t>
      </w:r>
      <w:smartTag w:uri="urn:schemas-microsoft-com:office:smarttags" w:element="PersonName">
        <w:smartTagPr>
          <w:attr w:name="ProductID" w:val="la Ley"/>
        </w:smartTagPr>
        <w:r w:rsidRPr="0030431A">
          <w:rPr>
            <w:rFonts w:cs="Arial"/>
            <w:color w:val="auto"/>
            <w:sz w:val="28"/>
            <w:szCs w:val="28"/>
          </w:rPr>
          <w:t>la Ley</w:t>
        </w:r>
      </w:smartTag>
      <w:r w:rsidRPr="0030431A">
        <w:rPr>
          <w:rFonts w:cs="Arial"/>
          <w:color w:val="auto"/>
          <w:sz w:val="28"/>
          <w:szCs w:val="28"/>
        </w:rPr>
        <w:t xml:space="preserve"> 8/2005, de 6 de junio (que modificó el artículo 147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30431A">
            <w:rPr>
              <w:rFonts w:cs="Arial"/>
              <w:color w:val="auto"/>
              <w:sz w:val="28"/>
              <w:szCs w:val="28"/>
            </w:rPr>
            <w:t>la Ley</w:t>
          </w:r>
        </w:smartTag>
        <w:r w:rsidRPr="0030431A">
          <w:rPr>
            <w:rFonts w:cs="Arial"/>
            <w:color w:val="auto"/>
            <w:sz w:val="28"/>
            <w:szCs w:val="28"/>
          </w:rPr>
          <w:t xml:space="preserve"> General</w:t>
        </w:r>
      </w:smartTag>
      <w:r w:rsidRPr="0030431A">
        <w:rPr>
          <w:rFonts w:cs="Arial"/>
          <w:color w:val="auto"/>
          <w:sz w:val="28"/>
          <w:szCs w:val="28"/>
        </w:rPr>
        <w:t xml:space="preserve"> de Seguridad Social), para compatibilizar las pensiones de invalidez en su modalidad no contributiva con el trabajo remunerado.</w:t>
      </w:r>
    </w:p>
    <w:p w:rsidR="00037891" w:rsidRPr="0030431A" w:rsidRDefault="00037891" w:rsidP="00037891">
      <w:pPr>
        <w:pStyle w:val="Body1"/>
        <w:spacing w:line="360" w:lineRule="auto"/>
        <w:jc w:val="both"/>
        <w:rPr>
          <w:rFonts w:cs="Arial"/>
          <w:color w:val="auto"/>
          <w:sz w:val="28"/>
          <w:szCs w:val="28"/>
        </w:rPr>
      </w:pPr>
    </w:p>
    <w:p w:rsidR="00037891" w:rsidRPr="0030431A" w:rsidRDefault="00037891" w:rsidP="00037891">
      <w:pPr>
        <w:pStyle w:val="Body1"/>
        <w:spacing w:line="360" w:lineRule="auto"/>
        <w:jc w:val="both"/>
        <w:rPr>
          <w:rFonts w:cs="Arial"/>
          <w:color w:val="auto"/>
          <w:sz w:val="28"/>
          <w:szCs w:val="28"/>
        </w:rPr>
      </w:pPr>
      <w:r w:rsidRPr="0030431A">
        <w:rPr>
          <w:rFonts w:cs="Arial"/>
          <w:color w:val="auto"/>
          <w:sz w:val="28"/>
          <w:szCs w:val="28"/>
        </w:rPr>
        <w:t>Se propone:</w:t>
      </w:r>
    </w:p>
    <w:p w:rsidR="00037891" w:rsidRPr="0030431A" w:rsidRDefault="00037891" w:rsidP="00037891">
      <w:pPr>
        <w:pStyle w:val="Body1"/>
        <w:spacing w:line="360" w:lineRule="auto"/>
        <w:jc w:val="both"/>
        <w:rPr>
          <w:rFonts w:cs="Arial"/>
          <w:color w:val="auto"/>
          <w:sz w:val="28"/>
          <w:szCs w:val="28"/>
        </w:rPr>
      </w:pPr>
      <w:r w:rsidRPr="0030431A">
        <w:rPr>
          <w:rFonts w:cs="Arial"/>
          <w:color w:val="auto"/>
          <w:sz w:val="28"/>
          <w:szCs w:val="28"/>
        </w:rPr>
        <w:tab/>
        <w:t xml:space="preserve">- Aumentar los ingresos por trabajo que se permiten compatibilizar con el percibo de la pensión de invalidez no contributiva. La suma de la pensión y los ingresos por el trabajo no podrá superar el duplo del IPREM (ahora el tope es la cuantía de este) Si excede de ese tope se minora la </w:t>
      </w:r>
      <w:r w:rsidR="000921D5" w:rsidRPr="0030431A">
        <w:rPr>
          <w:rFonts w:cs="Arial"/>
          <w:color w:val="auto"/>
          <w:sz w:val="28"/>
          <w:szCs w:val="28"/>
        </w:rPr>
        <w:t>pensión</w:t>
      </w:r>
      <w:r w:rsidRPr="0030431A">
        <w:rPr>
          <w:rFonts w:cs="Arial"/>
          <w:color w:val="auto"/>
          <w:sz w:val="28"/>
          <w:szCs w:val="28"/>
        </w:rPr>
        <w:t xml:space="preserve"> en un 50% del exceso, sin que la suma de la pensión y los ingresos por el trabajo superen 3 veces el IPREM (ahora 1,5)</w:t>
      </w:r>
    </w:p>
    <w:p w:rsidR="00037891" w:rsidRPr="0030431A" w:rsidRDefault="00037891" w:rsidP="00037891">
      <w:pPr>
        <w:pStyle w:val="Body1"/>
        <w:spacing w:line="360" w:lineRule="auto"/>
        <w:jc w:val="both"/>
        <w:rPr>
          <w:rFonts w:cs="Arial"/>
          <w:color w:val="auto"/>
          <w:sz w:val="28"/>
          <w:szCs w:val="28"/>
        </w:rPr>
      </w:pPr>
    </w:p>
    <w:p w:rsidR="00037891" w:rsidRPr="0030431A" w:rsidRDefault="00037891" w:rsidP="00037891">
      <w:pPr>
        <w:pStyle w:val="Body1"/>
        <w:spacing w:line="360" w:lineRule="auto"/>
        <w:jc w:val="both"/>
        <w:rPr>
          <w:rFonts w:cs="Arial"/>
          <w:color w:val="auto"/>
          <w:sz w:val="28"/>
          <w:szCs w:val="28"/>
        </w:rPr>
      </w:pPr>
      <w:r w:rsidRPr="0030431A">
        <w:rPr>
          <w:rFonts w:cs="Arial"/>
          <w:color w:val="auto"/>
          <w:sz w:val="28"/>
          <w:szCs w:val="28"/>
        </w:rPr>
        <w:tab/>
        <w:t xml:space="preserve">- Suprimir el plazo de los 4 años actuales en que se permite la compatibilidad, (artículo 147 de </w:t>
      </w:r>
      <w:smartTag w:uri="urn:schemas-microsoft-com:office:smarttags" w:element="PersonName">
        <w:smartTagPr>
          <w:attr w:name="ProductID" w:val="la Ley General"/>
        </w:smartTagPr>
        <w:r w:rsidRPr="0030431A">
          <w:rPr>
            <w:rFonts w:cs="Arial"/>
            <w:color w:val="auto"/>
            <w:sz w:val="28"/>
            <w:szCs w:val="28"/>
          </w:rPr>
          <w:t>la Ley General</w:t>
        </w:r>
      </w:smartTag>
      <w:r w:rsidRPr="0030431A">
        <w:rPr>
          <w:rFonts w:cs="Arial"/>
          <w:color w:val="auto"/>
          <w:sz w:val="28"/>
          <w:szCs w:val="28"/>
        </w:rPr>
        <w:t xml:space="preserve"> de </w:t>
      </w:r>
      <w:smartTag w:uri="urn:schemas-microsoft-com:office:smarttags" w:element="PersonName">
        <w:smartTagPr>
          <w:attr w:name="ProductID" w:val="la Seguridad Social"/>
        </w:smartTagPr>
        <w:r w:rsidRPr="0030431A">
          <w:rPr>
            <w:rFonts w:cs="Arial"/>
            <w:color w:val="auto"/>
            <w:sz w:val="28"/>
            <w:szCs w:val="28"/>
          </w:rPr>
          <w:t>la Seguridad Social</w:t>
        </w:r>
      </w:smartTag>
      <w:r w:rsidRPr="0030431A">
        <w:rPr>
          <w:rFonts w:cs="Arial"/>
          <w:color w:val="auto"/>
          <w:sz w:val="28"/>
          <w:szCs w:val="28"/>
        </w:rPr>
        <w:t>) Proponemos que sea indefinida.</w:t>
      </w:r>
    </w:p>
    <w:p w:rsidR="00037891" w:rsidRPr="0030431A" w:rsidRDefault="00037891" w:rsidP="00037891">
      <w:pPr>
        <w:pStyle w:val="Body1"/>
        <w:spacing w:line="360" w:lineRule="auto"/>
        <w:jc w:val="both"/>
        <w:rPr>
          <w:rFonts w:cs="Arial"/>
          <w:color w:val="auto"/>
          <w:sz w:val="28"/>
          <w:szCs w:val="28"/>
        </w:rPr>
      </w:pPr>
    </w:p>
    <w:p w:rsidR="00037891" w:rsidRPr="0030431A" w:rsidRDefault="00037891" w:rsidP="00037891">
      <w:pPr>
        <w:pStyle w:val="Body1"/>
        <w:spacing w:line="360" w:lineRule="auto"/>
        <w:jc w:val="both"/>
        <w:rPr>
          <w:rFonts w:cs="Arial"/>
          <w:sz w:val="28"/>
          <w:szCs w:val="28"/>
        </w:rPr>
      </w:pPr>
      <w:r w:rsidRPr="0030431A">
        <w:rPr>
          <w:rFonts w:cs="Arial"/>
          <w:sz w:val="28"/>
          <w:szCs w:val="28"/>
        </w:rPr>
        <w:tab/>
        <w:t>- Se excluirá de los ingresos computables a efectos de la carencia de rentas, el importe de las becas o compensaciones por la realización de prácticas profesionales no laborales.</w:t>
      </w:r>
    </w:p>
    <w:p w:rsidR="00037891" w:rsidRPr="0030431A" w:rsidRDefault="00037891" w:rsidP="00037891">
      <w:pPr>
        <w:pStyle w:val="Body1"/>
        <w:spacing w:line="360" w:lineRule="auto"/>
        <w:jc w:val="both"/>
        <w:rPr>
          <w:rFonts w:cs="Arial"/>
          <w:color w:val="auto"/>
          <w:sz w:val="28"/>
          <w:szCs w:val="28"/>
        </w:rPr>
      </w:pPr>
      <w:r w:rsidRPr="0030431A">
        <w:rPr>
          <w:rFonts w:cs="Arial"/>
          <w:b/>
          <w:iCs/>
          <w:sz w:val="28"/>
          <w:szCs w:val="28"/>
          <w:u w:val="single"/>
        </w:rPr>
        <w:t>Propuesta</w:t>
      </w:r>
    </w:p>
    <w:p w:rsidR="00037891" w:rsidRPr="0030431A" w:rsidRDefault="00037891" w:rsidP="00037891">
      <w:pPr>
        <w:pStyle w:val="NormalWeb"/>
        <w:spacing w:line="360" w:lineRule="auto"/>
        <w:rPr>
          <w:rFonts w:ascii="Arial" w:hAnsi="Arial" w:cs="Arial"/>
          <w:b/>
          <w:sz w:val="28"/>
          <w:szCs w:val="28"/>
        </w:rPr>
      </w:pPr>
      <w:r w:rsidRPr="0030431A">
        <w:rPr>
          <w:rFonts w:ascii="Arial" w:hAnsi="Arial" w:cs="Arial"/>
          <w:b/>
          <w:sz w:val="28"/>
          <w:szCs w:val="28"/>
        </w:rPr>
        <w:t>1. - Se modifica el párrafo primero del apartado 5 del artículo 144</w:t>
      </w:r>
      <w:hyperlink r:id="rId10" w:anchor="a147" w:history="1">
        <w:r w:rsidRPr="0030431A">
          <w:rPr>
            <w:rStyle w:val="Hipervnculo"/>
            <w:rFonts w:cs="Arial"/>
            <w:color w:val="auto"/>
            <w:sz w:val="28"/>
            <w:szCs w:val="28"/>
            <w:u w:val="none"/>
          </w:rPr>
          <w:t xml:space="preserve"> del texto refundido de la Ley General de la Seguridad Social, aprobado por Real Decreto Legislativo 1/1994, de 20 de junio</w:t>
        </w:r>
      </w:hyperlink>
      <w:r w:rsidRPr="0030431A">
        <w:rPr>
          <w:rFonts w:ascii="Arial" w:hAnsi="Arial" w:cs="Arial"/>
          <w:sz w:val="28"/>
          <w:szCs w:val="28"/>
        </w:rPr>
        <w:t xml:space="preserve">, </w:t>
      </w:r>
      <w:r w:rsidRPr="0030431A">
        <w:rPr>
          <w:rFonts w:ascii="Arial" w:hAnsi="Arial" w:cs="Arial"/>
          <w:b/>
          <w:sz w:val="28"/>
          <w:szCs w:val="28"/>
        </w:rPr>
        <w:t>en los siguientes términos:</w:t>
      </w:r>
    </w:p>
    <w:p w:rsidR="00037891" w:rsidRPr="006D6741" w:rsidRDefault="00037891" w:rsidP="00037891">
      <w:pPr>
        <w:pStyle w:val="NormalWeb"/>
        <w:spacing w:line="360" w:lineRule="auto"/>
        <w:rPr>
          <w:rFonts w:ascii="Arial" w:hAnsi="Arial" w:cs="Arial"/>
          <w:b/>
          <w:i/>
          <w:color w:val="FF0000"/>
          <w:sz w:val="28"/>
          <w:szCs w:val="28"/>
        </w:rPr>
      </w:pPr>
      <w:r w:rsidRPr="0030431A">
        <w:rPr>
          <w:rFonts w:ascii="Arial" w:hAnsi="Arial" w:cs="Arial"/>
          <w:b/>
          <w:bCs/>
          <w:i/>
          <w:sz w:val="28"/>
          <w:szCs w:val="28"/>
        </w:rPr>
        <w:t>"</w:t>
      </w:r>
      <w:r w:rsidRPr="0030431A">
        <w:rPr>
          <w:rFonts w:ascii="Arial" w:hAnsi="Arial" w:cs="Arial"/>
          <w:i/>
          <w:sz w:val="28"/>
          <w:szCs w:val="28"/>
        </w:rPr>
        <w:t>A efectos de lo establecido en los apartados anteriores, se considerarán como ingresos o rentas computables, cualesquiera bienes y derechos, derivados tanto del trabajo como del capital, así como los de naturaleza prestacional</w:t>
      </w:r>
      <w:r w:rsidRPr="006D6741">
        <w:rPr>
          <w:rFonts w:ascii="Arial" w:hAnsi="Arial" w:cs="Arial"/>
          <w:i/>
          <w:color w:val="FF0000"/>
          <w:sz w:val="28"/>
          <w:szCs w:val="28"/>
        </w:rPr>
        <w:t xml:space="preserve">, </w:t>
      </w:r>
      <w:r w:rsidRPr="006D6741">
        <w:rPr>
          <w:rFonts w:ascii="Arial" w:hAnsi="Arial" w:cs="Arial"/>
          <w:b/>
          <w:i/>
          <w:color w:val="FF0000"/>
          <w:sz w:val="28"/>
          <w:szCs w:val="28"/>
        </w:rPr>
        <w:t xml:space="preserve">excepto los ingresos del perceptor de la pensión de invalidez en su modalidad no </w:t>
      </w:r>
      <w:r w:rsidRPr="006D6741">
        <w:rPr>
          <w:rFonts w:ascii="Arial" w:hAnsi="Arial" w:cs="Arial"/>
          <w:b/>
          <w:i/>
          <w:color w:val="FF0000"/>
          <w:sz w:val="28"/>
          <w:szCs w:val="28"/>
        </w:rPr>
        <w:lastRenderedPageBreak/>
        <w:t>contributiva derivados de su participación en prácticas o becas profesionales, sin que exista relación laboral.</w:t>
      </w:r>
    </w:p>
    <w:p w:rsidR="00037891" w:rsidRPr="0030431A" w:rsidRDefault="00037891" w:rsidP="00037891">
      <w:pPr>
        <w:pStyle w:val="NormalWeb"/>
        <w:spacing w:line="360" w:lineRule="auto"/>
        <w:rPr>
          <w:rFonts w:ascii="Arial" w:hAnsi="Arial" w:cs="Arial"/>
          <w:b/>
          <w:sz w:val="28"/>
          <w:szCs w:val="28"/>
        </w:rPr>
      </w:pPr>
      <w:r w:rsidRPr="0030431A">
        <w:rPr>
          <w:rFonts w:ascii="Arial" w:hAnsi="Arial" w:cs="Arial"/>
          <w:b/>
          <w:sz w:val="28"/>
          <w:szCs w:val="28"/>
        </w:rPr>
        <w:t xml:space="preserve">2.- </w:t>
      </w:r>
      <w:r w:rsidR="000921D5" w:rsidRPr="0030431A">
        <w:rPr>
          <w:rFonts w:ascii="Arial" w:hAnsi="Arial" w:cs="Arial"/>
          <w:b/>
          <w:sz w:val="28"/>
          <w:szCs w:val="28"/>
        </w:rPr>
        <w:t>Se modifica</w:t>
      </w:r>
      <w:r w:rsidRPr="0030431A">
        <w:rPr>
          <w:rFonts w:ascii="Arial" w:hAnsi="Arial" w:cs="Arial"/>
          <w:b/>
          <w:sz w:val="28"/>
          <w:szCs w:val="28"/>
        </w:rPr>
        <w:t xml:space="preserve"> el párrafo segundo al </w:t>
      </w:r>
      <w:hyperlink r:id="rId11" w:anchor="a147" w:history="1">
        <w:r w:rsidRPr="0030431A">
          <w:rPr>
            <w:rStyle w:val="Hipervnculo"/>
            <w:rFonts w:cs="Arial"/>
            <w:color w:val="auto"/>
            <w:sz w:val="28"/>
            <w:szCs w:val="28"/>
            <w:u w:val="none"/>
          </w:rPr>
          <w:t>artículo 147 del texto refundido de la Ley General de la Seguridad Social, aprobado por Real Decreto Legislativo 1/1994, de 20 de junio</w:t>
        </w:r>
      </w:hyperlink>
      <w:r w:rsidRPr="0030431A">
        <w:rPr>
          <w:rFonts w:ascii="Arial" w:hAnsi="Arial" w:cs="Arial"/>
          <w:sz w:val="28"/>
          <w:szCs w:val="28"/>
        </w:rPr>
        <w:t xml:space="preserve">, </w:t>
      </w:r>
      <w:r w:rsidRPr="0030431A">
        <w:rPr>
          <w:rFonts w:ascii="Arial" w:hAnsi="Arial" w:cs="Arial"/>
          <w:b/>
          <w:sz w:val="28"/>
          <w:szCs w:val="28"/>
        </w:rPr>
        <w:t>en los siguientes términos:</w:t>
      </w:r>
    </w:p>
    <w:p w:rsidR="00037891" w:rsidRPr="0030431A" w:rsidRDefault="00037891" w:rsidP="00037891">
      <w:pPr>
        <w:pStyle w:val="NormalWeb"/>
        <w:spacing w:line="360" w:lineRule="auto"/>
        <w:rPr>
          <w:rFonts w:ascii="Arial" w:hAnsi="Arial" w:cs="Arial"/>
          <w:i/>
          <w:sz w:val="28"/>
          <w:szCs w:val="28"/>
        </w:rPr>
      </w:pPr>
      <w:r w:rsidRPr="0030431A">
        <w:rPr>
          <w:rFonts w:ascii="Arial" w:hAnsi="Arial" w:cs="Arial"/>
          <w:i/>
          <w:sz w:val="28"/>
          <w:szCs w:val="28"/>
        </w:rPr>
        <w:t>“Las pensiones de invalidez en su modalidad no contributiva no impedirán el ejercicio de aquellas actividades, sean o no lucrativas, compatibles con el estado del inválido, y que no representen un cambio en su capacidad de trabajo.</w:t>
      </w:r>
    </w:p>
    <w:p w:rsidR="00037891" w:rsidRPr="0030431A" w:rsidRDefault="00037891" w:rsidP="00037891">
      <w:pPr>
        <w:spacing w:line="360" w:lineRule="auto"/>
        <w:jc w:val="both"/>
        <w:rPr>
          <w:rFonts w:ascii="Arial" w:hAnsi="Arial" w:cs="Arial"/>
          <w:b/>
          <w:i/>
          <w:sz w:val="28"/>
          <w:szCs w:val="28"/>
        </w:rPr>
      </w:pPr>
      <w:r w:rsidRPr="0030431A">
        <w:rPr>
          <w:rFonts w:ascii="Arial" w:hAnsi="Arial" w:cs="Arial"/>
          <w:i/>
          <w:sz w:val="28"/>
          <w:szCs w:val="28"/>
        </w:rPr>
        <w:t xml:space="preserve">En el caso de personas que con anterioridad al inicio de una actividad lucrativa vinieran percibiendo pensión de invalidez en su modalidad no contributiva la suma de la cuantía de la pensión de invalidez y de los ingresos obtenidos por la actividad desarrollada no podrán ser superiores, en cómputo anual, al </w:t>
      </w:r>
      <w:r w:rsidRPr="0030431A">
        <w:rPr>
          <w:rFonts w:ascii="Arial" w:hAnsi="Arial" w:cs="Arial"/>
          <w:b/>
          <w:i/>
          <w:color w:val="FF0000"/>
          <w:sz w:val="28"/>
          <w:szCs w:val="28"/>
        </w:rPr>
        <w:t xml:space="preserve">duplo </w:t>
      </w:r>
      <w:r w:rsidRPr="0030431A">
        <w:rPr>
          <w:rFonts w:ascii="Arial" w:hAnsi="Arial" w:cs="Arial"/>
          <w:i/>
          <w:sz w:val="28"/>
          <w:szCs w:val="28"/>
        </w:rPr>
        <w:t xml:space="preserve">del importe, también en cómputo anual, del indicador público de renta de efectos múltiples (IPREM) vigente en cada momento. En caso de exceder de dicha cuantía, se minorará el importe de la pensión en el 50 % del exceso sin que, en ningún caso, la suma de la pensión y de los ingresos pueda superar </w:t>
      </w:r>
      <w:r w:rsidRPr="0030431A">
        <w:rPr>
          <w:rFonts w:ascii="Arial" w:hAnsi="Arial" w:cs="Arial"/>
          <w:b/>
          <w:i/>
          <w:color w:val="FF0000"/>
          <w:sz w:val="28"/>
          <w:szCs w:val="28"/>
        </w:rPr>
        <w:t>3</w:t>
      </w:r>
      <w:r w:rsidRPr="0030431A">
        <w:rPr>
          <w:rFonts w:ascii="Arial" w:hAnsi="Arial" w:cs="Arial"/>
          <w:i/>
          <w:color w:val="FF0000"/>
          <w:sz w:val="28"/>
          <w:szCs w:val="28"/>
        </w:rPr>
        <w:t xml:space="preserve"> </w:t>
      </w:r>
      <w:r w:rsidRPr="0030431A">
        <w:rPr>
          <w:rFonts w:ascii="Arial" w:hAnsi="Arial" w:cs="Arial"/>
          <w:i/>
          <w:sz w:val="28"/>
          <w:szCs w:val="28"/>
        </w:rPr>
        <w:t xml:space="preserve">veces el indicador público de renta de efectos múltiples (IPREM). Esta reducción no afectará al complemento previsto en el apartado 6 del </w:t>
      </w:r>
      <w:hyperlink r:id="rId12" w:anchor="a145#a145" w:history="1">
        <w:r w:rsidRPr="0030431A">
          <w:rPr>
            <w:rStyle w:val="Hipervnculo"/>
            <w:rFonts w:cs="Arial"/>
            <w:b w:val="0"/>
            <w:i/>
            <w:color w:val="auto"/>
            <w:sz w:val="28"/>
            <w:szCs w:val="28"/>
            <w:u w:val="none"/>
          </w:rPr>
          <w:t>artículo 145 de esta Ley.</w:t>
        </w:r>
      </w:hyperlink>
    </w:p>
    <w:p w:rsidR="00037891" w:rsidRPr="0030431A" w:rsidRDefault="00037891" w:rsidP="00037891">
      <w:pPr>
        <w:spacing w:line="360" w:lineRule="auto"/>
        <w:jc w:val="both"/>
        <w:rPr>
          <w:rFonts w:ascii="Arial" w:hAnsi="Arial" w:cs="Arial"/>
          <w:b/>
          <w:i/>
          <w:sz w:val="28"/>
          <w:szCs w:val="28"/>
        </w:rPr>
      </w:pPr>
    </w:p>
    <w:p w:rsidR="00037891" w:rsidRPr="0030431A" w:rsidRDefault="00037891" w:rsidP="00037891">
      <w:pPr>
        <w:spacing w:line="360" w:lineRule="auto"/>
        <w:jc w:val="both"/>
        <w:rPr>
          <w:rFonts w:ascii="Arial" w:hAnsi="Arial" w:cs="Arial"/>
          <w:b/>
          <w:i/>
          <w:color w:val="002060"/>
          <w:sz w:val="28"/>
          <w:szCs w:val="28"/>
        </w:rPr>
      </w:pPr>
      <w:r w:rsidRPr="0030431A">
        <w:rPr>
          <w:rFonts w:ascii="Arial" w:hAnsi="Arial" w:cs="Arial"/>
          <w:b/>
          <w:i/>
          <w:color w:val="FF0000"/>
          <w:sz w:val="28"/>
          <w:szCs w:val="28"/>
        </w:rPr>
        <w:t xml:space="preserve">Los ingresos del perceptor de la pensión de invalidez en su modalidad no contributiva derivados de su participación en prácticas o becas profesionales, sin que exista relación laboral, no se tendrán en cuenta a los efectos del párrafo anterior, </w:t>
      </w:r>
      <w:r w:rsidRPr="0030431A">
        <w:rPr>
          <w:rFonts w:ascii="Arial" w:hAnsi="Arial" w:cs="Arial"/>
          <w:b/>
          <w:i/>
          <w:color w:val="FF0000"/>
          <w:sz w:val="28"/>
          <w:szCs w:val="28"/>
        </w:rPr>
        <w:lastRenderedPageBreak/>
        <w:t>estando excluidos del cómputo de ingresos regulado en el artículo 144 de esta ley</w:t>
      </w:r>
      <w:r w:rsidRPr="0030431A">
        <w:rPr>
          <w:rFonts w:ascii="Arial" w:hAnsi="Arial" w:cs="Arial"/>
          <w:b/>
          <w:i/>
          <w:color w:val="002060"/>
          <w:sz w:val="28"/>
          <w:szCs w:val="28"/>
        </w:rPr>
        <w:t>.”</w:t>
      </w:r>
    </w:p>
    <w:p w:rsidR="0030431A" w:rsidRPr="0030431A" w:rsidRDefault="0030431A" w:rsidP="0030431A">
      <w:pPr>
        <w:pStyle w:val="Encabezado"/>
        <w:spacing w:line="360" w:lineRule="auto"/>
        <w:rPr>
          <w:rFonts w:ascii="Arial" w:hAnsi="Arial" w:cs="Arial"/>
          <w:sz w:val="28"/>
          <w:szCs w:val="28"/>
          <w:lang w:val="es-ES"/>
        </w:rPr>
      </w:pPr>
    </w:p>
    <w:p w:rsidR="0030431A" w:rsidRPr="0030431A" w:rsidRDefault="00037891" w:rsidP="00096D72">
      <w:pPr>
        <w:pStyle w:val="Encabezado"/>
        <w:spacing w:line="360" w:lineRule="auto"/>
        <w:jc w:val="right"/>
        <w:rPr>
          <w:rFonts w:ascii="Arial" w:hAnsi="Arial" w:cs="Arial"/>
          <w:sz w:val="28"/>
          <w:szCs w:val="28"/>
          <w:lang w:val="es-ES"/>
        </w:rPr>
      </w:pPr>
      <w:r w:rsidRPr="0030431A">
        <w:rPr>
          <w:rFonts w:ascii="Arial" w:hAnsi="Arial" w:cs="Arial"/>
          <w:sz w:val="28"/>
          <w:szCs w:val="28"/>
          <w:lang w:val="es-ES"/>
        </w:rPr>
        <w:t>30 de septiembre de 2013</w:t>
      </w:r>
      <w:r w:rsidR="0030431A" w:rsidRPr="0030431A">
        <w:rPr>
          <w:rFonts w:ascii="Arial" w:hAnsi="Arial" w:cs="Arial"/>
          <w:sz w:val="28"/>
          <w:szCs w:val="28"/>
          <w:lang w:val="es-ES"/>
        </w:rPr>
        <w:t>.</w:t>
      </w:r>
    </w:p>
    <w:p w:rsidR="0030431A" w:rsidRPr="0030431A" w:rsidRDefault="0030431A" w:rsidP="0030431A">
      <w:pPr>
        <w:pStyle w:val="Encabezado"/>
        <w:spacing w:line="360" w:lineRule="auto"/>
        <w:rPr>
          <w:rFonts w:ascii="Arial" w:hAnsi="Arial" w:cs="Arial"/>
          <w:sz w:val="28"/>
          <w:szCs w:val="28"/>
          <w:lang w:val="es-ES"/>
        </w:rPr>
      </w:pPr>
    </w:p>
    <w:p w:rsidR="0030431A" w:rsidRPr="0030431A" w:rsidRDefault="0030431A" w:rsidP="0030431A">
      <w:pPr>
        <w:pStyle w:val="Encabezado"/>
        <w:spacing w:line="360" w:lineRule="auto"/>
        <w:jc w:val="center"/>
        <w:rPr>
          <w:rFonts w:ascii="Arial" w:hAnsi="Arial" w:cs="Arial"/>
          <w:b/>
          <w:sz w:val="28"/>
          <w:szCs w:val="28"/>
          <w:lang w:val="es-ES"/>
        </w:rPr>
      </w:pPr>
      <w:r w:rsidRPr="0030431A">
        <w:rPr>
          <w:rFonts w:ascii="Arial" w:hAnsi="Arial" w:cs="Arial"/>
          <w:b/>
          <w:sz w:val="28"/>
          <w:szCs w:val="28"/>
          <w:lang w:val="es-ES"/>
        </w:rPr>
        <w:t>CERMI</w:t>
      </w:r>
    </w:p>
    <w:p w:rsidR="0030431A" w:rsidRPr="0030431A" w:rsidRDefault="0030431A" w:rsidP="0030431A">
      <w:pPr>
        <w:pStyle w:val="Encabezado"/>
        <w:spacing w:line="360" w:lineRule="auto"/>
        <w:jc w:val="center"/>
        <w:rPr>
          <w:rFonts w:ascii="Arial" w:hAnsi="Arial" w:cs="Arial"/>
          <w:b/>
          <w:sz w:val="28"/>
          <w:szCs w:val="28"/>
          <w:lang w:val="es-ES"/>
        </w:rPr>
      </w:pPr>
      <w:hyperlink r:id="rId13" w:history="1">
        <w:r w:rsidRPr="0030431A">
          <w:rPr>
            <w:rStyle w:val="Hipervnculo"/>
            <w:rFonts w:eastAsia="Arial" w:cs="Arial"/>
            <w:b w:val="0"/>
            <w:sz w:val="28"/>
            <w:szCs w:val="28"/>
            <w:lang w:val="es-ES"/>
          </w:rPr>
          <w:t>www.cermi.es</w:t>
        </w:r>
      </w:hyperlink>
    </w:p>
    <w:p w:rsidR="00037891" w:rsidRPr="0030431A" w:rsidRDefault="00037891" w:rsidP="0030431A">
      <w:pPr>
        <w:pStyle w:val="Encabezado"/>
        <w:spacing w:line="360" w:lineRule="auto"/>
        <w:rPr>
          <w:rFonts w:ascii="Arial" w:hAnsi="Arial" w:cs="Arial"/>
          <w:sz w:val="28"/>
          <w:szCs w:val="28"/>
          <w:lang w:val="es-ES"/>
        </w:rPr>
      </w:pPr>
      <w:r w:rsidRPr="0030431A">
        <w:rPr>
          <w:rFonts w:ascii="Arial" w:hAnsi="Arial" w:cs="Arial"/>
          <w:sz w:val="28"/>
          <w:szCs w:val="28"/>
          <w:lang w:val="es-ES"/>
        </w:rPr>
        <w:tab/>
      </w:r>
      <w:r w:rsidRPr="0030431A">
        <w:rPr>
          <w:rFonts w:ascii="Arial" w:hAnsi="Arial" w:cs="Arial"/>
          <w:sz w:val="28"/>
          <w:szCs w:val="28"/>
          <w:lang w:val="es-ES"/>
        </w:rPr>
        <w:tab/>
      </w:r>
      <w:r w:rsidRPr="0030431A">
        <w:rPr>
          <w:rFonts w:ascii="Arial" w:hAnsi="Arial" w:cs="Arial"/>
          <w:sz w:val="28"/>
          <w:szCs w:val="28"/>
          <w:lang w:val="es-ES"/>
        </w:rPr>
        <w:tab/>
      </w:r>
      <w:r w:rsidRPr="0030431A">
        <w:rPr>
          <w:rFonts w:ascii="Arial" w:hAnsi="Arial" w:cs="Arial"/>
          <w:sz w:val="28"/>
          <w:szCs w:val="28"/>
          <w:lang w:val="es-ES"/>
        </w:rPr>
        <w:tab/>
      </w:r>
      <w:r w:rsidRPr="0030431A">
        <w:rPr>
          <w:rFonts w:ascii="Arial" w:hAnsi="Arial" w:cs="Arial"/>
          <w:sz w:val="28"/>
          <w:szCs w:val="28"/>
          <w:lang w:val="es-ES"/>
        </w:rPr>
        <w:tab/>
      </w:r>
      <w:r w:rsidRPr="0030431A">
        <w:rPr>
          <w:rFonts w:ascii="Arial" w:hAnsi="Arial" w:cs="Arial"/>
          <w:sz w:val="28"/>
          <w:szCs w:val="28"/>
          <w:lang w:val="es-ES"/>
        </w:rPr>
        <w:tab/>
      </w:r>
      <w:r w:rsidRPr="0030431A">
        <w:rPr>
          <w:rFonts w:ascii="Arial" w:hAnsi="Arial" w:cs="Arial"/>
          <w:sz w:val="28"/>
          <w:szCs w:val="28"/>
          <w:lang w:val="es-ES"/>
        </w:rPr>
        <w:tab/>
      </w:r>
      <w:r w:rsidRPr="0030431A">
        <w:rPr>
          <w:rFonts w:ascii="Arial" w:hAnsi="Arial" w:cs="Arial"/>
          <w:sz w:val="28"/>
          <w:szCs w:val="28"/>
          <w:lang w:val="es-ES"/>
        </w:rPr>
        <w:tab/>
      </w:r>
      <w:r w:rsidRPr="0030431A">
        <w:rPr>
          <w:rFonts w:ascii="Arial" w:hAnsi="Arial" w:cs="Arial"/>
          <w:sz w:val="28"/>
          <w:szCs w:val="28"/>
          <w:lang w:val="es-ES"/>
        </w:rPr>
        <w:tab/>
      </w:r>
      <w:r w:rsidRPr="0030431A">
        <w:rPr>
          <w:rFonts w:ascii="Arial" w:hAnsi="Arial" w:cs="Arial"/>
          <w:sz w:val="28"/>
          <w:szCs w:val="28"/>
          <w:lang w:val="es-ES"/>
        </w:rPr>
        <w:tab/>
      </w:r>
    </w:p>
    <w:sectPr w:rsidR="00037891" w:rsidRPr="0030431A">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439" w:rsidRDefault="00D14439">
      <w:r>
        <w:separator/>
      </w:r>
    </w:p>
  </w:endnote>
  <w:endnote w:type="continuationSeparator" w:id="1">
    <w:p w:rsidR="00D14439" w:rsidRDefault="00D14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DB" w:rsidRDefault="00F174DB" w:rsidP="004A7E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74DB" w:rsidRDefault="00F174DB" w:rsidP="00F174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DB" w:rsidRDefault="00F174DB" w:rsidP="004A7E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02AA">
      <w:rPr>
        <w:rStyle w:val="Nmerodepgina"/>
        <w:noProof/>
      </w:rPr>
      <w:t>1</w:t>
    </w:r>
    <w:r>
      <w:rPr>
        <w:rStyle w:val="Nmerodepgina"/>
      </w:rPr>
      <w:fldChar w:fldCharType="end"/>
    </w:r>
  </w:p>
  <w:p w:rsidR="00F174DB" w:rsidRDefault="00F174DB" w:rsidP="00F174D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439" w:rsidRDefault="00D14439">
      <w:r>
        <w:separator/>
      </w:r>
    </w:p>
  </w:footnote>
  <w:footnote w:type="continuationSeparator" w:id="1">
    <w:p w:rsidR="00D14439" w:rsidRDefault="00D14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359F3"/>
    <w:rsid w:val="00025F79"/>
    <w:rsid w:val="00037891"/>
    <w:rsid w:val="000921D5"/>
    <w:rsid w:val="00096D72"/>
    <w:rsid w:val="000D31C7"/>
    <w:rsid w:val="00176F87"/>
    <w:rsid w:val="0030431A"/>
    <w:rsid w:val="00464221"/>
    <w:rsid w:val="004A7EB1"/>
    <w:rsid w:val="004D5337"/>
    <w:rsid w:val="006D6741"/>
    <w:rsid w:val="009B3948"/>
    <w:rsid w:val="00D14439"/>
    <w:rsid w:val="00F174DB"/>
    <w:rsid w:val="00F359F3"/>
    <w:rsid w:val="00F902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9F3"/>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F359F3"/>
    <w:rPr>
      <w:rFonts w:ascii="Arial" w:eastAsia="Arial Unicode MS" w:hAnsi="Arial"/>
      <w:b/>
      <w:color w:val="5F5F5F"/>
      <w:sz w:val="22"/>
      <w:u w:val="single" w:color="5F5F5F"/>
      <w:lang w:val="es-ES_tradnl"/>
    </w:rPr>
  </w:style>
  <w:style w:type="paragraph" w:styleId="NormalWeb">
    <w:name w:val="Normal (Web)"/>
    <w:basedOn w:val="Normal"/>
    <w:rsid w:val="00F359F3"/>
    <w:pPr>
      <w:spacing w:before="100" w:beforeAutospacing="1" w:after="100" w:afterAutospacing="1"/>
      <w:jc w:val="both"/>
    </w:pPr>
    <w:rPr>
      <w:rFonts w:ascii="Verdana" w:hAnsi="Verdana"/>
      <w:sz w:val="17"/>
      <w:szCs w:val="17"/>
    </w:rPr>
  </w:style>
  <w:style w:type="paragraph" w:customStyle="1" w:styleId="Body1">
    <w:name w:val="Body 1"/>
    <w:rsid w:val="00F359F3"/>
    <w:pPr>
      <w:outlineLvl w:val="0"/>
    </w:pPr>
    <w:rPr>
      <w:rFonts w:ascii="Arial" w:eastAsia="Arial Unicode MS" w:hAnsi="Arial"/>
      <w:color w:val="000000"/>
      <w:sz w:val="22"/>
      <w:u w:color="000000"/>
    </w:rPr>
  </w:style>
  <w:style w:type="paragraph" w:styleId="Encabezado">
    <w:name w:val="header"/>
    <w:basedOn w:val="Normal"/>
    <w:link w:val="EncabezadoCar"/>
    <w:rsid w:val="00F359F3"/>
    <w:pPr>
      <w:tabs>
        <w:tab w:val="center" w:pos="4513"/>
        <w:tab w:val="right" w:pos="9026"/>
      </w:tabs>
    </w:pPr>
    <w:rPr>
      <w:rFonts w:eastAsia="Arial"/>
      <w:lang w:val="en-GB" w:eastAsia="en-US"/>
    </w:rPr>
  </w:style>
  <w:style w:type="character" w:customStyle="1" w:styleId="EncabezadoCar">
    <w:name w:val="Encabezado Car"/>
    <w:basedOn w:val="Fuentedeprrafopredeter"/>
    <w:link w:val="Encabezado"/>
    <w:semiHidden/>
    <w:locked/>
    <w:rsid w:val="00F359F3"/>
    <w:rPr>
      <w:rFonts w:eastAsia="Arial"/>
      <w:sz w:val="24"/>
      <w:szCs w:val="24"/>
      <w:lang w:val="en-GB" w:eastAsia="en-US" w:bidi="ar-SA"/>
    </w:rPr>
  </w:style>
  <w:style w:type="paragraph" w:styleId="Piedepgina">
    <w:name w:val="footer"/>
    <w:basedOn w:val="Normal"/>
    <w:rsid w:val="00F174DB"/>
    <w:pPr>
      <w:tabs>
        <w:tab w:val="center" w:pos="4252"/>
        <w:tab w:val="right" w:pos="8504"/>
      </w:tabs>
    </w:pPr>
  </w:style>
  <w:style w:type="character" w:styleId="Nmerodepgina">
    <w:name w:val="page number"/>
    <w:basedOn w:val="Fuentedeprrafopredeter"/>
    <w:rsid w:val="00F174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rmi.e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noticias.juridicas.com/base_datos/Admin/rdleg1-1994.t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cias.juridicas.com/base_datos/Admin/rdleg1-1994.t2.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noticias.juridicas.com/base_datos/Admin/rdleg1-1994.t2.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9F3E04-DE93-4748-9DF4-E5411606397A}">
  <ds:schemaRefs>
    <ds:schemaRef ds:uri="http://schemas.microsoft.com/sharepoint/v3/contenttype/forms"/>
  </ds:schemaRefs>
</ds:datastoreItem>
</file>

<file path=customXml/itemProps2.xml><?xml version="1.0" encoding="utf-8"?>
<ds:datastoreItem xmlns:ds="http://schemas.openxmlformats.org/officeDocument/2006/customXml" ds:itemID="{B907FA8E-A76E-4500-83FF-725323D39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1354A3-A261-447B-9355-2D3A00FAE60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PROPUESTA 4</vt:lpstr>
    </vt:vector>
  </TitlesOfParts>
  <Company>Hewlett-Packard Company</Company>
  <LinksUpToDate>false</LinksUpToDate>
  <CharactersWithSpaces>4607</CharactersWithSpaces>
  <SharedDoc>false</SharedDoc>
  <HLinks>
    <vt:vector size="24" baseType="variant">
      <vt:variant>
        <vt:i4>1638405</vt:i4>
      </vt:variant>
      <vt:variant>
        <vt:i4>12</vt:i4>
      </vt:variant>
      <vt:variant>
        <vt:i4>0</vt:i4>
      </vt:variant>
      <vt:variant>
        <vt:i4>5</vt:i4>
      </vt:variant>
      <vt:variant>
        <vt:lpwstr>http://www.cermi.es/</vt:lpwstr>
      </vt:variant>
      <vt:variant>
        <vt:lpwstr/>
      </vt:variant>
      <vt:variant>
        <vt:i4>2621532</vt:i4>
      </vt:variant>
      <vt:variant>
        <vt:i4>9</vt:i4>
      </vt:variant>
      <vt:variant>
        <vt:i4>0</vt:i4>
      </vt:variant>
      <vt:variant>
        <vt:i4>5</vt:i4>
      </vt:variant>
      <vt:variant>
        <vt:lpwstr>http://noticias.juridicas.com/base_datos/Admin/rdleg1-1994.t2.html</vt:lpwstr>
      </vt:variant>
      <vt:variant>
        <vt:lpwstr>a145#a145</vt:lpwstr>
      </vt:variant>
      <vt:variant>
        <vt:i4>8323150</vt:i4>
      </vt:variant>
      <vt:variant>
        <vt:i4>6</vt:i4>
      </vt:variant>
      <vt:variant>
        <vt:i4>0</vt:i4>
      </vt:variant>
      <vt:variant>
        <vt:i4>5</vt:i4>
      </vt:variant>
      <vt:variant>
        <vt:lpwstr>http://noticias.juridicas.com/base_datos/Admin/rdleg1-1994.t2.html</vt:lpwstr>
      </vt:variant>
      <vt:variant>
        <vt:lpwstr>a147</vt:lpwstr>
      </vt:variant>
      <vt:variant>
        <vt:i4>8323150</vt:i4>
      </vt:variant>
      <vt:variant>
        <vt:i4>3</vt:i4>
      </vt:variant>
      <vt:variant>
        <vt:i4>0</vt:i4>
      </vt:variant>
      <vt:variant>
        <vt:i4>5</vt:i4>
      </vt:variant>
      <vt:variant>
        <vt:lpwstr>http://noticias.juridicas.com/base_datos/Admin/rdleg1-1994.t2.html</vt:lpwstr>
      </vt:variant>
      <vt:variant>
        <vt:lpwstr>a147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4</dc:title>
  <dc:subject/>
  <dc:creator>LCPB</dc:creator>
  <cp:keywords/>
  <cp:lastModifiedBy>babella.svm</cp:lastModifiedBy>
  <cp:revision>2</cp:revision>
  <dcterms:created xsi:type="dcterms:W3CDTF">2013-10-03T10:45:00Z</dcterms:created>
  <dcterms:modified xsi:type="dcterms:W3CDTF">2013-10-03T10:45:00Z</dcterms:modified>
</cp:coreProperties>
</file>