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B64" w:rsidRDefault="002113E4" w:rsidP="006E4B64">
      <w:pPr>
        <w:pBdr>
          <w:bottom w:val="single" w:sz="12" w:space="1" w:color="auto"/>
        </w:pBdr>
        <w:jc w:val="center"/>
        <w:rPr>
          <w:rFonts w:eastAsia="Arial Unicode MS" w:cs="Arial"/>
          <w:b/>
          <w:sz w:val="24"/>
          <w:szCs w:val="24"/>
        </w:rPr>
      </w:pPr>
      <w:r>
        <w:rPr>
          <w:noProof/>
          <w:lang w:eastAsia="es-ES"/>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mite Español de Representantes de Personas con Discapacidad. Ir a página de inicio"/>
                    <pic:cNvPicPr>
                      <a:picLocks noChangeAspect="1" noChangeArrowheads="1"/>
                    </pic:cNvPicPr>
                  </pic:nvPicPr>
                  <pic:blipFill>
                    <a:blip r:embed="rId8"/>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973108" w:rsidRDefault="000223A8" w:rsidP="000223A8">
      <w:pPr>
        <w:pBdr>
          <w:bottom w:val="single" w:sz="12" w:space="1" w:color="auto"/>
        </w:pBdr>
        <w:jc w:val="both"/>
        <w:rPr>
          <w:rFonts w:eastAsia="Arial Unicode MS" w:cs="Arial"/>
          <w:b/>
          <w:sz w:val="24"/>
          <w:szCs w:val="24"/>
        </w:rPr>
      </w:pPr>
      <w:r>
        <w:rPr>
          <w:rFonts w:eastAsia="Arial Unicode MS" w:cs="Arial"/>
          <w:b/>
          <w:sz w:val="24"/>
          <w:szCs w:val="24"/>
        </w:rPr>
        <w:t xml:space="preserve">IMPACTO DEL </w:t>
      </w:r>
      <w:r w:rsidRPr="00DF25F2">
        <w:rPr>
          <w:rFonts w:eastAsia="Arial Unicode MS" w:cs="Arial"/>
          <w:b/>
          <w:sz w:val="24"/>
          <w:szCs w:val="24"/>
        </w:rPr>
        <w:t>ANTEPROYECTO DE LEY DE MODIFICACIÓN DE LA LEY 38/2003, DE 17 DE NOVIEMBRE, GENERAL DE SUBVENCIONES</w:t>
      </w:r>
      <w:r>
        <w:rPr>
          <w:rFonts w:eastAsia="Arial Unicode MS" w:cs="Arial"/>
          <w:b/>
          <w:sz w:val="24"/>
          <w:szCs w:val="24"/>
        </w:rPr>
        <w:t xml:space="preserve"> EN EL SECTOR SOCIAL DE LA DISCAPACIDAD</w:t>
      </w:r>
    </w:p>
    <w:p w:rsidR="000223A8" w:rsidRPr="000223A8" w:rsidRDefault="000223A8" w:rsidP="000223A8">
      <w:pPr>
        <w:jc w:val="both"/>
        <w:rPr>
          <w:rFonts w:eastAsia="Arial Unicode MS" w:cs="Arial"/>
          <w:sz w:val="24"/>
          <w:szCs w:val="24"/>
        </w:rPr>
      </w:pPr>
      <w:r w:rsidRPr="000223A8">
        <w:rPr>
          <w:rFonts w:eastAsia="Arial Unicode MS" w:cs="Arial"/>
          <w:sz w:val="24"/>
          <w:szCs w:val="24"/>
        </w:rPr>
        <w:t>El sector social de la discapacidad, entendiendo por tal el conjunto de entidades no lucrativas de iniciativa social (asociaciones y fundaciones, fundamentalmente), tiene un peso enorme en la cantidad y en la calidad de la atención</w:t>
      </w:r>
      <w:r>
        <w:rPr>
          <w:rFonts w:eastAsia="Arial Unicode MS" w:cs="Arial"/>
          <w:sz w:val="24"/>
          <w:szCs w:val="24"/>
        </w:rPr>
        <w:t>,</w:t>
      </w:r>
      <w:r w:rsidRPr="000223A8">
        <w:rPr>
          <w:rFonts w:eastAsia="Arial Unicode MS" w:cs="Arial"/>
          <w:sz w:val="24"/>
          <w:szCs w:val="24"/>
        </w:rPr>
        <w:t xml:space="preserve"> recursos y apoyos que reciben las person</w:t>
      </w:r>
      <w:r>
        <w:rPr>
          <w:rFonts w:eastAsia="Arial Unicode MS" w:cs="Arial"/>
          <w:sz w:val="24"/>
          <w:szCs w:val="24"/>
        </w:rPr>
        <w:t>as con discapacidad en España</w:t>
      </w:r>
    </w:p>
    <w:p w:rsidR="00594DDD" w:rsidRDefault="000223A8" w:rsidP="000223A8">
      <w:pPr>
        <w:jc w:val="both"/>
        <w:rPr>
          <w:rFonts w:eastAsia="Arial Unicode MS" w:cs="Arial"/>
          <w:sz w:val="24"/>
          <w:szCs w:val="24"/>
        </w:rPr>
      </w:pPr>
      <w:r>
        <w:rPr>
          <w:rFonts w:eastAsia="Arial Unicode MS" w:cs="Arial"/>
          <w:sz w:val="24"/>
          <w:szCs w:val="24"/>
        </w:rPr>
        <w:t xml:space="preserve">A diferencia de lo que ocurre en otros países europeos, en el que el peso de lo público, estrictamente considerado, es abrumador, sin apenas espacio para </w:t>
      </w:r>
      <w:r w:rsidR="00210E76">
        <w:rPr>
          <w:rFonts w:eastAsia="Arial Unicode MS" w:cs="Arial"/>
          <w:sz w:val="24"/>
          <w:szCs w:val="24"/>
        </w:rPr>
        <w:t>la</w:t>
      </w:r>
      <w:r>
        <w:rPr>
          <w:rFonts w:eastAsia="Arial Unicode MS" w:cs="Arial"/>
          <w:sz w:val="24"/>
          <w:szCs w:val="24"/>
        </w:rPr>
        <w:t xml:space="preserve"> iniciativa social, en España la acción pública en materia de discapacidad es el sumatorio de la actividad de las Administraciones Públicas y de la aportación de las entidades de iniciativa social, que por delegación </w:t>
      </w:r>
      <w:r w:rsidR="00594DDD">
        <w:rPr>
          <w:rFonts w:eastAsia="Arial Unicode MS" w:cs="Arial"/>
          <w:sz w:val="24"/>
          <w:szCs w:val="24"/>
        </w:rPr>
        <w:t xml:space="preserve">y con apoyos financieros </w:t>
      </w:r>
      <w:r>
        <w:rPr>
          <w:rFonts w:eastAsia="Arial Unicode MS" w:cs="Arial"/>
          <w:sz w:val="24"/>
          <w:szCs w:val="24"/>
        </w:rPr>
        <w:t>del poder público</w:t>
      </w:r>
      <w:r w:rsidR="00594DDD">
        <w:rPr>
          <w:rFonts w:eastAsia="Arial Unicode MS" w:cs="Arial"/>
          <w:sz w:val="24"/>
          <w:szCs w:val="24"/>
        </w:rPr>
        <w:t>,</w:t>
      </w:r>
      <w:r>
        <w:rPr>
          <w:rFonts w:eastAsia="Arial Unicode MS" w:cs="Arial"/>
          <w:sz w:val="24"/>
          <w:szCs w:val="24"/>
        </w:rPr>
        <w:t xml:space="preserve"> originariamente competente, despliega una actividad pública pero proporci</w:t>
      </w:r>
      <w:r w:rsidR="00594DDD">
        <w:rPr>
          <w:rFonts w:eastAsia="Arial Unicode MS" w:cs="Arial"/>
          <w:sz w:val="24"/>
          <w:szCs w:val="24"/>
        </w:rPr>
        <w:t>onada desde el tercer sector no lucrativo.</w:t>
      </w:r>
    </w:p>
    <w:p w:rsidR="00210E76" w:rsidRDefault="00210E76" w:rsidP="000223A8">
      <w:pPr>
        <w:jc w:val="both"/>
        <w:rPr>
          <w:rFonts w:eastAsia="Arial Unicode MS" w:cs="Arial"/>
          <w:sz w:val="24"/>
          <w:szCs w:val="24"/>
        </w:rPr>
      </w:pPr>
      <w:r>
        <w:rPr>
          <w:rFonts w:eastAsia="Arial Unicode MS" w:cs="Arial"/>
          <w:sz w:val="24"/>
          <w:szCs w:val="24"/>
        </w:rPr>
        <w:t>El</w:t>
      </w:r>
      <w:r w:rsidR="00594DDD">
        <w:rPr>
          <w:rFonts w:eastAsia="Arial Unicode MS" w:cs="Arial"/>
          <w:sz w:val="24"/>
          <w:szCs w:val="24"/>
        </w:rPr>
        <w:t xml:space="preserve"> sostenimiento financiero de esta acción social pública pero prestada por entidades sociales, que caracteriza el mundo de la discapacidad en España, se ha canalizado tradicionalmente a través de dos mecanismos, a saber: el concierto y la subvención. Esta importancia de los recursos económicos de procedencia pública se explica porque en esencia lo que se prestan son servicios públicos (servicios sociales de atención a la discapacidad), de responsabilidad de una Administración Pública, aunque el proveedor inmediato de los mismos es una entidad social no lucrativa que coopera estrechamente (por delegación o por sustitución) con el poder público, que es el titular de la potestad administrativa y su responsable mediato. Este grado tan intenso de participación de la iniciativa social en la provisión y gestión de los servicios sociales de la discapacidad se explica por razones históricas (España como país y como Estado llegó tarde a proporcionar coberturas mínimas a las personas con discapacidad y sus familias, por lo que la sociedad civil reaccionó a la inactividad o debilidad de lo público</w:t>
      </w:r>
      <w:r>
        <w:rPr>
          <w:rFonts w:eastAsia="Arial Unicode MS" w:cs="Arial"/>
          <w:sz w:val="24"/>
          <w:szCs w:val="24"/>
        </w:rPr>
        <w:t>, tratando de articular y ofrecer sus propias respuestas)</w:t>
      </w:r>
      <w:r w:rsidR="00594DDD">
        <w:rPr>
          <w:rFonts w:eastAsia="Arial Unicode MS" w:cs="Arial"/>
          <w:sz w:val="24"/>
          <w:szCs w:val="24"/>
        </w:rPr>
        <w:t>, sociológicas</w:t>
      </w:r>
      <w:r>
        <w:rPr>
          <w:rFonts w:eastAsia="Arial Unicode MS" w:cs="Arial"/>
          <w:sz w:val="24"/>
          <w:szCs w:val="24"/>
        </w:rPr>
        <w:t xml:space="preserve"> (España cuenta con una sociedad civil o tercer sector de la discapacidad muy denso y tramado, con gran capacidad operativa)</w:t>
      </w:r>
      <w:r w:rsidR="00594DDD">
        <w:rPr>
          <w:rFonts w:eastAsia="Arial Unicode MS" w:cs="Arial"/>
          <w:sz w:val="24"/>
          <w:szCs w:val="24"/>
        </w:rPr>
        <w:t xml:space="preserve"> y económicas</w:t>
      </w:r>
      <w:r>
        <w:rPr>
          <w:rFonts w:eastAsia="Arial Unicode MS" w:cs="Arial"/>
          <w:sz w:val="24"/>
          <w:szCs w:val="24"/>
        </w:rPr>
        <w:t xml:space="preserve"> (esta forma de proveer y gestionar servicios es más eficiente y eficaz que si los mismos se prestaran directamente por una Administración Pública, con todo el aparato público que ello acarrea)</w:t>
      </w:r>
      <w:r w:rsidR="00594DDD">
        <w:rPr>
          <w:rFonts w:eastAsia="Arial Unicode MS" w:cs="Arial"/>
          <w:sz w:val="24"/>
          <w:szCs w:val="24"/>
        </w:rPr>
        <w:t xml:space="preserve">, y supone </w:t>
      </w:r>
      <w:r w:rsidR="00594DDD">
        <w:rPr>
          <w:rFonts w:eastAsia="Arial Unicode MS" w:cs="Arial"/>
          <w:sz w:val="24"/>
          <w:szCs w:val="24"/>
        </w:rPr>
        <w:lastRenderedPageBreak/>
        <w:t xml:space="preserve">una singularidad </w:t>
      </w:r>
      <w:r>
        <w:rPr>
          <w:rFonts w:eastAsia="Arial Unicode MS" w:cs="Arial"/>
          <w:sz w:val="24"/>
          <w:szCs w:val="24"/>
        </w:rPr>
        <w:t>que desde la Administración social es considerada como un valor digno de preservar y proteger.</w:t>
      </w:r>
    </w:p>
    <w:p w:rsidR="00210E76" w:rsidRDefault="00210E76" w:rsidP="000223A8">
      <w:pPr>
        <w:jc w:val="both"/>
        <w:rPr>
          <w:rFonts w:eastAsia="Arial Unicode MS" w:cs="Arial"/>
          <w:sz w:val="24"/>
          <w:szCs w:val="24"/>
        </w:rPr>
      </w:pPr>
      <w:r>
        <w:rPr>
          <w:rFonts w:eastAsia="Arial Unicode MS" w:cs="Arial"/>
          <w:sz w:val="24"/>
          <w:szCs w:val="24"/>
        </w:rPr>
        <w:t xml:space="preserve">A la hora de examinar el impacto del Anteproyecto de Ley </w:t>
      </w:r>
      <w:r w:rsidRPr="00210E76">
        <w:rPr>
          <w:rFonts w:eastAsia="Arial Unicode MS" w:cs="Arial"/>
          <w:sz w:val="24"/>
          <w:szCs w:val="24"/>
        </w:rPr>
        <w:t xml:space="preserve">de modificación de la </w:t>
      </w:r>
      <w:r>
        <w:rPr>
          <w:rFonts w:eastAsia="Arial Unicode MS" w:cs="Arial"/>
          <w:sz w:val="24"/>
          <w:szCs w:val="24"/>
        </w:rPr>
        <w:t>L</w:t>
      </w:r>
      <w:r w:rsidRPr="00210E76">
        <w:rPr>
          <w:rFonts w:eastAsia="Arial Unicode MS" w:cs="Arial"/>
          <w:sz w:val="24"/>
          <w:szCs w:val="24"/>
        </w:rPr>
        <w:t>ey 38/2003, de 17 de noviembre, general de subvenciones en el sector social de la discapacidad</w:t>
      </w:r>
      <w:r>
        <w:rPr>
          <w:rFonts w:eastAsia="Arial Unicode MS" w:cs="Arial"/>
          <w:sz w:val="24"/>
          <w:szCs w:val="24"/>
        </w:rPr>
        <w:t xml:space="preserve">, es muy conveniente tener en cuenta esta realidad de partida, pues lo que se decida en una materia tan crítica solo desde una perspectiva general, sin consideraciones específicas a estados fácticos preexistentes, puede incidir de un modo perturbador y provocar consecuencias </w:t>
      </w:r>
      <w:r w:rsidR="00362313">
        <w:rPr>
          <w:rFonts w:eastAsia="Arial Unicode MS" w:cs="Arial"/>
          <w:sz w:val="24"/>
          <w:szCs w:val="24"/>
        </w:rPr>
        <w:t xml:space="preserve">funestas </w:t>
      </w:r>
      <w:r>
        <w:rPr>
          <w:rFonts w:eastAsia="Arial Unicode MS" w:cs="Arial"/>
          <w:sz w:val="24"/>
          <w:szCs w:val="24"/>
        </w:rPr>
        <w:t>no deseadas por ninguna instancia.</w:t>
      </w:r>
    </w:p>
    <w:p w:rsidR="00362313" w:rsidRDefault="00362313" w:rsidP="000223A8">
      <w:pPr>
        <w:jc w:val="both"/>
        <w:rPr>
          <w:rFonts w:eastAsia="Arial Unicode MS" w:cs="Arial"/>
          <w:sz w:val="24"/>
          <w:szCs w:val="24"/>
        </w:rPr>
      </w:pPr>
      <w:r>
        <w:rPr>
          <w:rFonts w:eastAsia="Arial Unicode MS" w:cs="Arial"/>
          <w:sz w:val="24"/>
          <w:szCs w:val="24"/>
        </w:rPr>
        <w:t xml:space="preserve">Analizado el Anteproyecto de Ley citado, </w:t>
      </w:r>
      <w:r w:rsidR="003A5C60">
        <w:rPr>
          <w:rFonts w:eastAsia="Arial Unicode MS" w:cs="Arial"/>
          <w:sz w:val="24"/>
          <w:szCs w:val="24"/>
        </w:rPr>
        <w:t>e</w:t>
      </w:r>
      <w:r>
        <w:rPr>
          <w:rFonts w:eastAsia="Arial Unicode MS" w:cs="Arial"/>
          <w:sz w:val="24"/>
          <w:szCs w:val="24"/>
        </w:rPr>
        <w:t xml:space="preserve">l aspecto que más repercute, de </w:t>
      </w:r>
      <w:r w:rsidR="003A5C60">
        <w:rPr>
          <w:rFonts w:eastAsia="Arial Unicode MS" w:cs="Arial"/>
          <w:sz w:val="24"/>
          <w:szCs w:val="24"/>
        </w:rPr>
        <w:t xml:space="preserve">modo particularmente </w:t>
      </w:r>
      <w:r>
        <w:rPr>
          <w:rFonts w:eastAsia="Arial Unicode MS" w:cs="Arial"/>
          <w:sz w:val="24"/>
          <w:szCs w:val="24"/>
        </w:rPr>
        <w:t xml:space="preserve">negativo, en el sector social de la discapacidad y que </w:t>
      </w:r>
      <w:r w:rsidR="005D2B4B">
        <w:rPr>
          <w:rFonts w:eastAsia="Arial Unicode MS" w:cs="Arial"/>
          <w:sz w:val="24"/>
          <w:szCs w:val="24"/>
        </w:rPr>
        <w:t xml:space="preserve">resulta imprescindible </w:t>
      </w:r>
      <w:r>
        <w:rPr>
          <w:rFonts w:eastAsia="Arial Unicode MS" w:cs="Arial"/>
          <w:sz w:val="24"/>
          <w:szCs w:val="24"/>
        </w:rPr>
        <w:t xml:space="preserve">corregir, en el trámite previo a su adopción como Proyecto de Ley, </w:t>
      </w:r>
      <w:r w:rsidR="00D8772A">
        <w:rPr>
          <w:rFonts w:eastAsia="Arial Unicode MS" w:cs="Arial"/>
          <w:sz w:val="24"/>
          <w:szCs w:val="24"/>
        </w:rPr>
        <w:t>es</w:t>
      </w:r>
      <w:r>
        <w:rPr>
          <w:rFonts w:eastAsia="Arial Unicode MS" w:cs="Arial"/>
          <w:sz w:val="24"/>
          <w:szCs w:val="24"/>
        </w:rPr>
        <w:t xml:space="preserve"> </w:t>
      </w:r>
      <w:r w:rsidR="00D8772A">
        <w:rPr>
          <w:rFonts w:eastAsia="Arial Unicode MS" w:cs="Arial"/>
          <w:sz w:val="24"/>
          <w:szCs w:val="24"/>
        </w:rPr>
        <w:t>e</w:t>
      </w:r>
      <w:r>
        <w:rPr>
          <w:rFonts w:eastAsia="Arial Unicode MS" w:cs="Arial"/>
          <w:sz w:val="24"/>
          <w:szCs w:val="24"/>
        </w:rPr>
        <w:t>l siguiente:</w:t>
      </w:r>
    </w:p>
    <w:p w:rsidR="00362313" w:rsidRPr="00362313" w:rsidRDefault="00362313" w:rsidP="00362313">
      <w:pPr>
        <w:pStyle w:val="Prrafodelista"/>
        <w:numPr>
          <w:ilvl w:val="0"/>
          <w:numId w:val="1"/>
        </w:numPr>
        <w:jc w:val="both"/>
        <w:rPr>
          <w:rFonts w:eastAsia="Arial Unicode MS" w:cs="Arial"/>
          <w:b/>
          <w:sz w:val="24"/>
          <w:szCs w:val="24"/>
        </w:rPr>
      </w:pPr>
      <w:r w:rsidRPr="00362313">
        <w:rPr>
          <w:rFonts w:eastAsia="Arial Unicode MS" w:cs="Arial"/>
          <w:b/>
          <w:sz w:val="24"/>
          <w:szCs w:val="24"/>
        </w:rPr>
        <w:t xml:space="preserve">Exigencia a todos las personas </w:t>
      </w:r>
      <w:r>
        <w:rPr>
          <w:rFonts w:eastAsia="Arial Unicode MS" w:cs="Arial"/>
          <w:b/>
          <w:sz w:val="24"/>
          <w:szCs w:val="24"/>
        </w:rPr>
        <w:t xml:space="preserve">(incluidas las entidades no lucrativas de iniciativa social) </w:t>
      </w:r>
      <w:r w:rsidRPr="00362313">
        <w:rPr>
          <w:rFonts w:eastAsia="Arial Unicode MS" w:cs="Arial"/>
          <w:b/>
          <w:sz w:val="24"/>
          <w:szCs w:val="24"/>
        </w:rPr>
        <w:t>que reciben una subvención pública de cofinanciar con recursos propios una parte signific</w:t>
      </w:r>
      <w:r>
        <w:rPr>
          <w:rFonts w:eastAsia="Arial Unicode MS" w:cs="Arial"/>
          <w:b/>
          <w:sz w:val="24"/>
          <w:szCs w:val="24"/>
        </w:rPr>
        <w:t>a</w:t>
      </w:r>
      <w:r w:rsidRPr="00362313">
        <w:rPr>
          <w:rFonts w:eastAsia="Arial Unicode MS" w:cs="Arial"/>
          <w:b/>
          <w:sz w:val="24"/>
          <w:szCs w:val="24"/>
        </w:rPr>
        <w:t xml:space="preserve">tiva de la </w:t>
      </w:r>
      <w:r>
        <w:rPr>
          <w:rFonts w:eastAsia="Arial Unicode MS" w:cs="Arial"/>
          <w:b/>
          <w:sz w:val="24"/>
          <w:szCs w:val="24"/>
        </w:rPr>
        <w:t xml:space="preserve">cuantía de la </w:t>
      </w:r>
      <w:r w:rsidRPr="00362313">
        <w:rPr>
          <w:rFonts w:eastAsia="Arial Unicode MS" w:cs="Arial"/>
          <w:b/>
          <w:sz w:val="24"/>
          <w:szCs w:val="24"/>
        </w:rPr>
        <w:t>misma.</w:t>
      </w:r>
    </w:p>
    <w:p w:rsidR="00362313" w:rsidRDefault="00362313" w:rsidP="00362313">
      <w:pPr>
        <w:ind w:left="360"/>
        <w:jc w:val="both"/>
        <w:rPr>
          <w:rFonts w:eastAsia="Arial Unicode MS" w:cs="Arial"/>
          <w:sz w:val="24"/>
          <w:szCs w:val="24"/>
        </w:rPr>
      </w:pPr>
      <w:r w:rsidRPr="00362313">
        <w:rPr>
          <w:rFonts w:eastAsia="Arial Unicode MS" w:cs="Arial"/>
          <w:sz w:val="24"/>
          <w:szCs w:val="24"/>
        </w:rPr>
        <w:t xml:space="preserve"> </w:t>
      </w:r>
      <w:r>
        <w:rPr>
          <w:rFonts w:eastAsia="Arial Unicode MS" w:cs="Arial"/>
          <w:sz w:val="24"/>
          <w:szCs w:val="24"/>
        </w:rPr>
        <w:t>Este requisito, que tiene sentido y procede para empresas y agentes económicos tradicionales, y que se ajusta al esquema clásico de la actividad de fomento por parte de los poderes públicos, es absolutamente contraproducente para las entidades del tercer sector no lucrativo y su efecto sería devastador para las organizaciones sociales de la discapacidad, y por ende, para las políticas públicas de discapacidad, que en gran medida son desplegadas materialmente por la iniciativa social bajo dirección y con financiación públicas.</w:t>
      </w:r>
    </w:p>
    <w:p w:rsidR="00D8772A" w:rsidRDefault="00362313" w:rsidP="00362313">
      <w:pPr>
        <w:ind w:left="360"/>
        <w:jc w:val="both"/>
        <w:rPr>
          <w:rFonts w:eastAsia="Arial Unicode MS" w:cs="Arial"/>
          <w:sz w:val="24"/>
          <w:szCs w:val="24"/>
        </w:rPr>
      </w:pPr>
      <w:r>
        <w:rPr>
          <w:rFonts w:eastAsia="Arial Unicode MS" w:cs="Arial"/>
          <w:sz w:val="24"/>
          <w:szCs w:val="24"/>
        </w:rPr>
        <w:t xml:space="preserve">Dado, como ha quedado dicho, que el tercer sector de la discapacidad </w:t>
      </w:r>
      <w:r w:rsidR="000551B0">
        <w:rPr>
          <w:rFonts w:eastAsia="Arial Unicode MS" w:cs="Arial"/>
          <w:sz w:val="24"/>
          <w:szCs w:val="24"/>
        </w:rPr>
        <w:t>despliega acción pública por delegación, en sustitución de la Administración titular, un esquema de cofinanciación</w:t>
      </w:r>
      <w:r>
        <w:rPr>
          <w:rFonts w:eastAsia="Arial Unicode MS" w:cs="Arial"/>
          <w:sz w:val="24"/>
          <w:szCs w:val="24"/>
        </w:rPr>
        <w:t xml:space="preserve"> </w:t>
      </w:r>
      <w:r w:rsidR="000551B0">
        <w:rPr>
          <w:rFonts w:eastAsia="Arial Unicode MS" w:cs="Arial"/>
          <w:sz w:val="24"/>
          <w:szCs w:val="24"/>
        </w:rPr>
        <w:t>como el que se dibuja en el Anteproyecto, no sería apropiado, antes al contrario, pues en realidad no se trata de una actividad de origen privado, útil socialmente, que la Administración fomenta, y para ello destina fondos, sino que es ciertamente una acción o servicio público, una política pública, que la Administración presta por persona</w:t>
      </w:r>
      <w:r w:rsidR="00D8772A">
        <w:rPr>
          <w:rFonts w:eastAsia="Arial Unicode MS" w:cs="Arial"/>
          <w:sz w:val="24"/>
          <w:szCs w:val="24"/>
        </w:rPr>
        <w:t>s</w:t>
      </w:r>
      <w:r w:rsidR="000551B0">
        <w:rPr>
          <w:rFonts w:eastAsia="Arial Unicode MS" w:cs="Arial"/>
          <w:sz w:val="24"/>
          <w:szCs w:val="24"/>
        </w:rPr>
        <w:t xml:space="preserve"> intermedia</w:t>
      </w:r>
      <w:r w:rsidR="00D8772A">
        <w:rPr>
          <w:rFonts w:eastAsia="Arial Unicode MS" w:cs="Arial"/>
          <w:sz w:val="24"/>
          <w:szCs w:val="24"/>
        </w:rPr>
        <w:t>s</w:t>
      </w:r>
      <w:r w:rsidR="000551B0">
        <w:rPr>
          <w:rFonts w:eastAsia="Arial Unicode MS" w:cs="Arial"/>
          <w:sz w:val="24"/>
          <w:szCs w:val="24"/>
        </w:rPr>
        <w:t xml:space="preserve"> que se han revelado imprescindibles para que esa actividad genuinamente pública llegue a sectores de población en situación de necesidad extrema, dando respuestas a demandas acuciantes, cuya responsabilidad incumbe al poder público, </w:t>
      </w:r>
      <w:r w:rsidR="00D8772A">
        <w:rPr>
          <w:rFonts w:eastAsia="Arial Unicode MS" w:cs="Arial"/>
          <w:sz w:val="24"/>
          <w:szCs w:val="24"/>
        </w:rPr>
        <w:t>y ofreci</w:t>
      </w:r>
      <w:r w:rsidR="0033179E">
        <w:rPr>
          <w:rFonts w:eastAsia="Arial Unicode MS" w:cs="Arial"/>
          <w:sz w:val="24"/>
          <w:szCs w:val="24"/>
        </w:rPr>
        <w:t>é</w:t>
      </w:r>
      <w:r w:rsidR="00D8772A">
        <w:rPr>
          <w:rFonts w:eastAsia="Arial Unicode MS" w:cs="Arial"/>
          <w:sz w:val="24"/>
          <w:szCs w:val="24"/>
        </w:rPr>
        <w:t>nd</w:t>
      </w:r>
      <w:r w:rsidR="0033179E">
        <w:rPr>
          <w:rFonts w:eastAsia="Arial Unicode MS" w:cs="Arial"/>
          <w:sz w:val="24"/>
          <w:szCs w:val="24"/>
        </w:rPr>
        <w:t>olas</w:t>
      </w:r>
      <w:r w:rsidR="00D8772A">
        <w:rPr>
          <w:rFonts w:eastAsia="Arial Unicode MS" w:cs="Arial"/>
          <w:sz w:val="24"/>
          <w:szCs w:val="24"/>
        </w:rPr>
        <w:t xml:space="preserve"> </w:t>
      </w:r>
      <w:r w:rsidR="000551B0">
        <w:rPr>
          <w:rFonts w:eastAsia="Arial Unicode MS" w:cs="Arial"/>
          <w:sz w:val="24"/>
          <w:szCs w:val="24"/>
        </w:rPr>
        <w:t>en términos de satisfacción e incluso en condiciones económicas menos onerosas (ahorro de fondos públicos) que si fueran prestadas por la propia Administración.</w:t>
      </w:r>
      <w:r w:rsidR="00D8772A">
        <w:rPr>
          <w:rFonts w:eastAsia="Arial Unicode MS" w:cs="Arial"/>
          <w:sz w:val="24"/>
          <w:szCs w:val="24"/>
        </w:rPr>
        <w:t xml:space="preserve"> Exigir cofinanciación en estos supuestos resultaría inadecuado y pondría en peligro y frustraría fines sociales de acción social y </w:t>
      </w:r>
      <w:r w:rsidR="00D8772A">
        <w:rPr>
          <w:rFonts w:eastAsia="Arial Unicode MS" w:cs="Arial"/>
          <w:sz w:val="24"/>
          <w:szCs w:val="24"/>
        </w:rPr>
        <w:lastRenderedPageBreak/>
        <w:t xml:space="preserve">de atención a grupos en situación de vulnerabilidad establecidos como imperativos constitucional y legalmente.  </w:t>
      </w:r>
    </w:p>
    <w:p w:rsidR="0022792C" w:rsidRDefault="00D8772A" w:rsidP="00362313">
      <w:pPr>
        <w:ind w:left="360"/>
        <w:jc w:val="both"/>
        <w:rPr>
          <w:rFonts w:eastAsia="Arial Unicode MS" w:cs="Arial"/>
          <w:sz w:val="24"/>
          <w:szCs w:val="24"/>
        </w:rPr>
      </w:pPr>
      <w:r>
        <w:rPr>
          <w:rFonts w:eastAsia="Arial Unicode MS" w:cs="Arial"/>
          <w:sz w:val="24"/>
          <w:szCs w:val="24"/>
        </w:rPr>
        <w:t>Si a esto, que bastaría por sí solo para no aplicar el requisito de la cofinanciación a las entidades sociales no lucrativas que reciben subvenciones, añadimos la situación de extrema debilidad financiera que experimenta el tercer sector de la discapacidad, la aportación de fondos propios deviene imposible de todo punto. Según la información disponible sobre el sector de la discapacidad en España, de las 10.000 entidades activas</w:t>
      </w:r>
      <w:r w:rsidR="0022792C">
        <w:rPr>
          <w:rFonts w:eastAsia="Arial Unicode MS" w:cs="Arial"/>
          <w:sz w:val="24"/>
          <w:szCs w:val="24"/>
        </w:rPr>
        <w:t xml:space="preserve"> existentes</w:t>
      </w:r>
      <w:r>
        <w:rPr>
          <w:rFonts w:eastAsia="Arial Unicode MS" w:cs="Arial"/>
          <w:sz w:val="24"/>
          <w:szCs w:val="24"/>
        </w:rPr>
        <w:t xml:space="preserve">, un 70 % de las mismas tienen un presupuesto inferior a los </w:t>
      </w:r>
      <w:r w:rsidR="00AC3CDB">
        <w:rPr>
          <w:rFonts w:eastAsia="Arial Unicode MS" w:cs="Arial"/>
          <w:sz w:val="24"/>
          <w:szCs w:val="24"/>
        </w:rPr>
        <w:t>150.000 euros anuales,</w:t>
      </w:r>
      <w:r w:rsidR="0022792C">
        <w:rPr>
          <w:rFonts w:eastAsia="Arial Unicode MS" w:cs="Arial"/>
          <w:sz w:val="24"/>
          <w:szCs w:val="24"/>
        </w:rPr>
        <w:t xml:space="preserve"> constituyendo los recursos propios no más del 20 % de su volumen, lo que indica la precariedad económica en que se desenvuelven. A la inequidad que resultaría de exigir un esquema no acorde con su realidad y papel, se uniría la pura y simple imposibilidad económica para hacer frente a esa complementariedad.</w:t>
      </w:r>
    </w:p>
    <w:p w:rsidR="0022792C" w:rsidRDefault="0022792C" w:rsidP="00362313">
      <w:pPr>
        <w:ind w:left="360"/>
        <w:jc w:val="both"/>
        <w:rPr>
          <w:rFonts w:eastAsia="Arial Unicode MS" w:cs="Arial"/>
          <w:sz w:val="24"/>
          <w:szCs w:val="24"/>
        </w:rPr>
      </w:pPr>
      <w:r>
        <w:rPr>
          <w:rFonts w:eastAsia="Arial Unicode MS" w:cs="Arial"/>
          <w:sz w:val="24"/>
          <w:szCs w:val="24"/>
        </w:rPr>
        <w:t>La propuestas, pues, es que la modificación legal en curso (Anteproyecto) se varíe para que no se exija a las entidades no lucrativas de iniciativa social la aportación complementaria o cofinanciación, y que se mantenga el estatuto legal actual para estas entidades del tercer sector, a modo de regulación específica que las exceptúe del régimen común, más propio de agentes y operadores económicos tradicionales.</w:t>
      </w:r>
    </w:p>
    <w:p w:rsidR="00D8772A" w:rsidRDefault="00816D10" w:rsidP="00816D10">
      <w:pPr>
        <w:pStyle w:val="Prrafodelista"/>
        <w:numPr>
          <w:ilvl w:val="0"/>
          <w:numId w:val="1"/>
        </w:numPr>
        <w:jc w:val="both"/>
        <w:rPr>
          <w:rFonts w:eastAsia="Arial Unicode MS" w:cs="Arial"/>
          <w:sz w:val="24"/>
          <w:szCs w:val="24"/>
        </w:rPr>
      </w:pPr>
      <w:r>
        <w:rPr>
          <w:rFonts w:eastAsia="Arial Unicode MS" w:cs="Arial"/>
          <w:sz w:val="24"/>
          <w:szCs w:val="24"/>
        </w:rPr>
        <w:t>Otros aspectos del Anteproyecto de Ley con incidencia negativa en el tercer sector social de la discapacidad que sería deseable variar y que se dejan meramente apuntados son:</w:t>
      </w:r>
    </w:p>
    <w:p w:rsidR="00816D10" w:rsidRDefault="00816D10" w:rsidP="00816D10">
      <w:pPr>
        <w:pStyle w:val="Prrafodelista"/>
        <w:ind w:left="1440"/>
        <w:jc w:val="both"/>
        <w:rPr>
          <w:rFonts w:eastAsia="Arial Unicode MS" w:cs="Arial"/>
          <w:sz w:val="24"/>
          <w:szCs w:val="24"/>
        </w:rPr>
      </w:pPr>
    </w:p>
    <w:p w:rsidR="00816D10" w:rsidRDefault="00816D10" w:rsidP="00816D10">
      <w:pPr>
        <w:pStyle w:val="Prrafodelista"/>
        <w:numPr>
          <w:ilvl w:val="1"/>
          <w:numId w:val="1"/>
        </w:numPr>
        <w:jc w:val="both"/>
        <w:rPr>
          <w:rFonts w:eastAsia="Arial Unicode MS" w:cs="Arial"/>
          <w:sz w:val="24"/>
          <w:szCs w:val="24"/>
        </w:rPr>
      </w:pPr>
      <w:r>
        <w:rPr>
          <w:rFonts w:eastAsia="Arial Unicode MS" w:cs="Arial"/>
          <w:sz w:val="24"/>
          <w:szCs w:val="24"/>
        </w:rPr>
        <w:t>Regulación rarificadora del las subvenciones nominativas.</w:t>
      </w:r>
    </w:p>
    <w:p w:rsidR="00816D10" w:rsidRDefault="00816D10" w:rsidP="00816D10">
      <w:pPr>
        <w:pStyle w:val="Prrafodelista"/>
        <w:numPr>
          <w:ilvl w:val="1"/>
          <w:numId w:val="1"/>
        </w:numPr>
        <w:jc w:val="both"/>
        <w:rPr>
          <w:rFonts w:eastAsia="Arial Unicode MS" w:cs="Arial"/>
          <w:sz w:val="24"/>
          <w:szCs w:val="24"/>
        </w:rPr>
      </w:pPr>
      <w:r>
        <w:rPr>
          <w:rFonts w:eastAsia="Arial Unicode MS" w:cs="Arial"/>
          <w:sz w:val="24"/>
          <w:szCs w:val="24"/>
        </w:rPr>
        <w:t>Circunscripción de la finalidad de la subvención y de los sujetos que pueden aspirar a la misma, en el caso de las subvenciones sociales.</w:t>
      </w:r>
    </w:p>
    <w:p w:rsidR="00816D10" w:rsidRDefault="00816D10" w:rsidP="00816D10">
      <w:pPr>
        <w:pStyle w:val="Prrafodelista"/>
        <w:numPr>
          <w:ilvl w:val="1"/>
          <w:numId w:val="1"/>
        </w:numPr>
        <w:jc w:val="both"/>
        <w:rPr>
          <w:rFonts w:eastAsia="Arial Unicode MS" w:cs="Arial"/>
          <w:sz w:val="24"/>
          <w:szCs w:val="24"/>
        </w:rPr>
      </w:pPr>
      <w:r>
        <w:rPr>
          <w:rFonts w:eastAsia="Arial Unicode MS" w:cs="Arial"/>
          <w:sz w:val="24"/>
          <w:szCs w:val="24"/>
        </w:rPr>
        <w:t>Regulación de los anticipos.</w:t>
      </w:r>
    </w:p>
    <w:p w:rsidR="00816D10" w:rsidRDefault="00816D10" w:rsidP="00816D10">
      <w:pPr>
        <w:pStyle w:val="Prrafodelista"/>
        <w:numPr>
          <w:ilvl w:val="1"/>
          <w:numId w:val="1"/>
        </w:numPr>
        <w:jc w:val="both"/>
        <w:rPr>
          <w:rFonts w:eastAsia="Arial Unicode MS" w:cs="Arial"/>
          <w:sz w:val="24"/>
          <w:szCs w:val="24"/>
        </w:rPr>
      </w:pPr>
      <w:r>
        <w:rPr>
          <w:rFonts w:eastAsia="Arial Unicode MS" w:cs="Arial"/>
          <w:sz w:val="24"/>
          <w:szCs w:val="24"/>
        </w:rPr>
        <w:t>Simplificación de la justificación.</w:t>
      </w:r>
    </w:p>
    <w:p w:rsidR="00816D10" w:rsidRDefault="00816D10" w:rsidP="00816D10">
      <w:pPr>
        <w:pStyle w:val="Prrafodelista"/>
        <w:numPr>
          <w:ilvl w:val="1"/>
          <w:numId w:val="1"/>
        </w:numPr>
        <w:jc w:val="both"/>
        <w:rPr>
          <w:rFonts w:eastAsia="Arial Unicode MS" w:cs="Arial"/>
          <w:sz w:val="24"/>
          <w:szCs w:val="24"/>
        </w:rPr>
      </w:pPr>
      <w:r>
        <w:rPr>
          <w:rFonts w:eastAsia="Arial Unicode MS" w:cs="Arial"/>
          <w:sz w:val="24"/>
          <w:szCs w:val="24"/>
        </w:rPr>
        <w:t xml:space="preserve">Endurecimiento del régimen sancionador, especialmente, en materia de reintegros. </w:t>
      </w:r>
    </w:p>
    <w:p w:rsidR="00816D10" w:rsidRDefault="005D2B4B" w:rsidP="007F6862">
      <w:pPr>
        <w:jc w:val="right"/>
        <w:rPr>
          <w:rFonts w:eastAsia="Arial Unicode MS" w:cs="Arial"/>
          <w:sz w:val="24"/>
          <w:szCs w:val="24"/>
        </w:rPr>
      </w:pPr>
      <w:r>
        <w:rPr>
          <w:rFonts w:eastAsia="Arial Unicode MS" w:cs="Arial"/>
          <w:sz w:val="24"/>
          <w:szCs w:val="24"/>
        </w:rPr>
        <w:t>Marzo</w:t>
      </w:r>
      <w:r w:rsidR="00816D10">
        <w:rPr>
          <w:rFonts w:eastAsia="Arial Unicode MS" w:cs="Arial"/>
          <w:sz w:val="24"/>
          <w:szCs w:val="24"/>
        </w:rPr>
        <w:t>, 2014.</w:t>
      </w:r>
    </w:p>
    <w:p w:rsidR="005D2B4B" w:rsidRPr="005D2B4B" w:rsidRDefault="005D2B4B" w:rsidP="005D2B4B">
      <w:pPr>
        <w:jc w:val="center"/>
        <w:rPr>
          <w:rFonts w:eastAsia="Arial Unicode MS" w:cs="Arial"/>
          <w:b/>
          <w:sz w:val="24"/>
          <w:szCs w:val="24"/>
        </w:rPr>
      </w:pPr>
      <w:r w:rsidRPr="005D2B4B">
        <w:rPr>
          <w:rFonts w:eastAsia="Arial Unicode MS" w:cs="Arial"/>
          <w:b/>
          <w:sz w:val="24"/>
          <w:szCs w:val="24"/>
        </w:rPr>
        <w:t>CERMI</w:t>
      </w:r>
    </w:p>
    <w:p w:rsidR="005D2B4B" w:rsidRPr="005D2B4B" w:rsidRDefault="004F474A" w:rsidP="005D2B4B">
      <w:pPr>
        <w:jc w:val="center"/>
        <w:rPr>
          <w:rFonts w:eastAsia="Arial Unicode MS" w:cs="Arial"/>
          <w:b/>
          <w:sz w:val="24"/>
          <w:szCs w:val="24"/>
        </w:rPr>
      </w:pPr>
      <w:hyperlink r:id="rId9" w:history="1">
        <w:r w:rsidR="005D2B4B" w:rsidRPr="005D2B4B">
          <w:rPr>
            <w:rStyle w:val="Hipervnculo"/>
            <w:rFonts w:eastAsia="Arial Unicode MS" w:cs="Arial"/>
            <w:b/>
            <w:sz w:val="24"/>
            <w:szCs w:val="24"/>
          </w:rPr>
          <w:t>www.cermi.es</w:t>
        </w:r>
      </w:hyperlink>
    </w:p>
    <w:p w:rsidR="005D2B4B" w:rsidRDefault="005D2B4B" w:rsidP="00816D10">
      <w:pPr>
        <w:jc w:val="both"/>
        <w:rPr>
          <w:rFonts w:eastAsia="Arial Unicode MS" w:cs="Arial"/>
          <w:sz w:val="24"/>
          <w:szCs w:val="24"/>
        </w:rPr>
      </w:pPr>
    </w:p>
    <w:p w:rsidR="00816D10" w:rsidRPr="00816D10" w:rsidRDefault="00816D10" w:rsidP="00816D10">
      <w:pPr>
        <w:jc w:val="both"/>
        <w:rPr>
          <w:rFonts w:eastAsia="Arial Unicode MS" w:cs="Arial"/>
          <w:sz w:val="24"/>
          <w:szCs w:val="24"/>
        </w:rPr>
      </w:pPr>
    </w:p>
    <w:p w:rsidR="00D8772A" w:rsidRDefault="00D8772A" w:rsidP="00D8772A">
      <w:pPr>
        <w:jc w:val="both"/>
        <w:rPr>
          <w:rFonts w:eastAsia="Arial Unicode MS" w:cs="Arial"/>
          <w:sz w:val="24"/>
          <w:szCs w:val="24"/>
        </w:rPr>
      </w:pPr>
      <w:r>
        <w:rPr>
          <w:rFonts w:eastAsia="Arial Unicode MS" w:cs="Arial"/>
          <w:sz w:val="24"/>
          <w:szCs w:val="24"/>
        </w:rPr>
        <w:tab/>
      </w:r>
    </w:p>
    <w:p w:rsidR="00362313" w:rsidRPr="00362313" w:rsidRDefault="000551B0" w:rsidP="00362313">
      <w:pPr>
        <w:ind w:left="360"/>
        <w:jc w:val="both"/>
        <w:rPr>
          <w:rFonts w:eastAsia="Arial Unicode MS" w:cs="Arial"/>
          <w:sz w:val="24"/>
          <w:szCs w:val="24"/>
        </w:rPr>
      </w:pPr>
      <w:r>
        <w:rPr>
          <w:rFonts w:eastAsia="Arial Unicode MS" w:cs="Arial"/>
          <w:sz w:val="24"/>
          <w:szCs w:val="24"/>
        </w:rPr>
        <w:lastRenderedPageBreak/>
        <w:t xml:space="preserve">      </w:t>
      </w:r>
    </w:p>
    <w:p w:rsidR="00210E76" w:rsidRDefault="00210E76" w:rsidP="000223A8">
      <w:pPr>
        <w:jc w:val="both"/>
        <w:rPr>
          <w:rFonts w:eastAsia="Arial Unicode MS" w:cs="Arial"/>
          <w:sz w:val="24"/>
          <w:szCs w:val="24"/>
        </w:rPr>
      </w:pPr>
      <w:r>
        <w:rPr>
          <w:rFonts w:eastAsia="Arial Unicode MS" w:cs="Arial"/>
          <w:sz w:val="24"/>
          <w:szCs w:val="24"/>
        </w:rPr>
        <w:t xml:space="preserve"> </w:t>
      </w:r>
    </w:p>
    <w:p w:rsidR="000223A8" w:rsidRDefault="00210E76" w:rsidP="000223A8">
      <w:pPr>
        <w:jc w:val="both"/>
        <w:rPr>
          <w:rFonts w:eastAsia="Arial Unicode MS" w:cs="Arial"/>
          <w:sz w:val="24"/>
          <w:szCs w:val="24"/>
        </w:rPr>
      </w:pPr>
      <w:r>
        <w:rPr>
          <w:rFonts w:eastAsia="Arial Unicode MS" w:cs="Arial"/>
          <w:sz w:val="24"/>
          <w:szCs w:val="24"/>
        </w:rPr>
        <w:t xml:space="preserve">    </w:t>
      </w:r>
    </w:p>
    <w:p w:rsidR="000223A8" w:rsidRDefault="000223A8" w:rsidP="000223A8">
      <w:pPr>
        <w:jc w:val="both"/>
        <w:rPr>
          <w:rFonts w:eastAsia="Arial Unicode MS" w:cs="Arial"/>
          <w:b/>
          <w:sz w:val="24"/>
          <w:szCs w:val="24"/>
        </w:rPr>
      </w:pPr>
    </w:p>
    <w:p w:rsidR="000223A8" w:rsidRDefault="000223A8" w:rsidP="000223A8">
      <w:pPr>
        <w:jc w:val="both"/>
        <w:rPr>
          <w:rFonts w:eastAsia="Arial Unicode MS" w:cs="Arial"/>
          <w:b/>
          <w:sz w:val="24"/>
          <w:szCs w:val="24"/>
        </w:rPr>
      </w:pPr>
    </w:p>
    <w:p w:rsidR="000223A8" w:rsidRDefault="000223A8" w:rsidP="000223A8">
      <w:pPr>
        <w:jc w:val="both"/>
        <w:rPr>
          <w:rFonts w:eastAsia="Arial Unicode MS" w:cs="Arial"/>
          <w:b/>
          <w:sz w:val="24"/>
          <w:szCs w:val="24"/>
        </w:rPr>
      </w:pPr>
    </w:p>
    <w:p w:rsidR="000223A8" w:rsidRDefault="000223A8" w:rsidP="000223A8">
      <w:pPr>
        <w:jc w:val="both"/>
      </w:pPr>
    </w:p>
    <w:sectPr w:rsidR="000223A8" w:rsidSect="0097310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75991"/>
    <w:multiLevelType w:val="hybridMultilevel"/>
    <w:tmpl w:val="ED8E1F0C"/>
    <w:lvl w:ilvl="0" w:tplc="E292AAE0">
      <w:numFmt w:val="bullet"/>
      <w:lvlText w:val=""/>
      <w:lvlJc w:val="left"/>
      <w:pPr>
        <w:ind w:left="720" w:hanging="360"/>
      </w:pPr>
      <w:rPr>
        <w:rFonts w:ascii="Symbol" w:eastAsia="Arial Unicode MS"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223A8"/>
    <w:rsid w:val="000223A8"/>
    <w:rsid w:val="000247F5"/>
    <w:rsid w:val="000551B0"/>
    <w:rsid w:val="00210E76"/>
    <w:rsid w:val="002113E4"/>
    <w:rsid w:val="0022792C"/>
    <w:rsid w:val="0033179E"/>
    <w:rsid w:val="00362313"/>
    <w:rsid w:val="003A5C60"/>
    <w:rsid w:val="004F474A"/>
    <w:rsid w:val="00570342"/>
    <w:rsid w:val="00594DDD"/>
    <w:rsid w:val="005D2B4B"/>
    <w:rsid w:val="006E4B64"/>
    <w:rsid w:val="007F6862"/>
    <w:rsid w:val="00816D10"/>
    <w:rsid w:val="008826E5"/>
    <w:rsid w:val="00973108"/>
    <w:rsid w:val="009D5B3F"/>
    <w:rsid w:val="00AC3CDB"/>
    <w:rsid w:val="00D8772A"/>
    <w:rsid w:val="00EE2DC2"/>
    <w:rsid w:val="00FE38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08"/>
    <w:pPr>
      <w:spacing w:after="200" w:line="276" w:lineRule="auto"/>
    </w:pPr>
    <w:rPr>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2313"/>
    <w:pPr>
      <w:ind w:left="720"/>
      <w:contextualSpacing/>
    </w:pPr>
  </w:style>
  <w:style w:type="character" w:styleId="Hipervnculo">
    <w:name w:val="Hyperlink"/>
    <w:basedOn w:val="Fuentedeprrafopredeter"/>
    <w:uiPriority w:val="99"/>
    <w:unhideWhenUsed/>
    <w:rsid w:val="005D2B4B"/>
    <w:rPr>
      <w:color w:val="0000FF"/>
      <w:u w:val="single"/>
    </w:rPr>
  </w:style>
  <w:style w:type="paragraph" w:styleId="Textodeglobo">
    <w:name w:val="Balloon Text"/>
    <w:basedOn w:val="Normal"/>
    <w:link w:val="TextodegloboCar"/>
    <w:uiPriority w:val="99"/>
    <w:semiHidden/>
    <w:unhideWhenUsed/>
    <w:rsid w:val="006E4B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B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erm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0851B78-A56A-439B-B354-D4C78D27CC86}">
  <ds:schemaRefs>
    <ds:schemaRef ds:uri="http://schemas.microsoft.com/sharepoint/v3/contenttype/forms"/>
  </ds:schemaRefs>
</ds:datastoreItem>
</file>

<file path=customXml/itemProps2.xml><?xml version="1.0" encoding="utf-8"?>
<ds:datastoreItem xmlns:ds="http://schemas.openxmlformats.org/officeDocument/2006/customXml" ds:itemID="{ACADB203-1E61-459C-B066-3C2E7F29B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895802D-D8AD-4D1E-BA86-264E041E230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6061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7149</CharactersWithSpaces>
  <SharedDoc>false</SharedDoc>
  <HLinks>
    <vt:vector size="6" baseType="variant">
      <vt:variant>
        <vt:i4>1638405</vt:i4>
      </vt:variant>
      <vt:variant>
        <vt:i4>0</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cp:lastModifiedBy>babella.svm</cp:lastModifiedBy>
  <cp:revision>2</cp:revision>
  <dcterms:created xsi:type="dcterms:W3CDTF">2014-03-18T11:06:00Z</dcterms:created>
  <dcterms:modified xsi:type="dcterms:W3CDTF">2014-03-18T11:06:00Z</dcterms:modified>
</cp:coreProperties>
</file>