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17" w:rsidRPr="009B0CB4" w:rsidRDefault="004205B9" w:rsidP="009B0CB4">
      <w:pPr>
        <w:jc w:val="center"/>
        <w:rPr>
          <w:rStyle w:val="Referenciaintensa"/>
          <w:color w:val="auto"/>
          <w:sz w:val="28"/>
          <w:szCs w:val="28"/>
        </w:rPr>
      </w:pPr>
      <w:r w:rsidRPr="009B0CB4">
        <w:rPr>
          <w:rStyle w:val="Referenciaintensa"/>
          <w:color w:val="auto"/>
          <w:sz w:val="28"/>
          <w:szCs w:val="28"/>
        </w:rPr>
        <w:t>ANÁLISIS</w:t>
      </w:r>
      <w:r w:rsidR="00BA2F55" w:rsidRPr="009B0CB4">
        <w:rPr>
          <w:rStyle w:val="Referenciaintensa"/>
          <w:color w:val="auto"/>
          <w:sz w:val="28"/>
          <w:szCs w:val="28"/>
        </w:rPr>
        <w:t xml:space="preserve"> DE LAS </w:t>
      </w:r>
      <w:r w:rsidR="007802B2" w:rsidRPr="009B0CB4">
        <w:rPr>
          <w:rStyle w:val="Referenciaintensa"/>
          <w:color w:val="auto"/>
          <w:sz w:val="28"/>
          <w:szCs w:val="28"/>
        </w:rPr>
        <w:t>APORTACIONES</w:t>
      </w:r>
      <w:r w:rsidR="00BA2F55" w:rsidRPr="009B0CB4">
        <w:rPr>
          <w:rStyle w:val="Referenciaintensa"/>
          <w:color w:val="auto"/>
          <w:sz w:val="28"/>
          <w:szCs w:val="28"/>
        </w:rPr>
        <w:t xml:space="preserve"> DEL CERMI</w:t>
      </w:r>
      <w:r w:rsidR="007802B2" w:rsidRPr="009B0CB4">
        <w:rPr>
          <w:rStyle w:val="Referenciaintensa"/>
          <w:color w:val="auto"/>
          <w:sz w:val="28"/>
          <w:szCs w:val="28"/>
        </w:rPr>
        <w:t xml:space="preserve"> A LA CONSULTA PÚBLICA SOBRE</w:t>
      </w:r>
    </w:p>
    <w:p w:rsidR="007802B2" w:rsidRPr="009B0CB4" w:rsidRDefault="007802B2" w:rsidP="009B0CB4">
      <w:pPr>
        <w:jc w:val="center"/>
        <w:rPr>
          <w:rStyle w:val="Referenciaintensa"/>
          <w:color w:val="auto"/>
          <w:sz w:val="28"/>
          <w:szCs w:val="28"/>
        </w:rPr>
      </w:pPr>
      <w:r w:rsidRPr="009B0CB4">
        <w:rPr>
          <w:rStyle w:val="Referenciaintensa"/>
          <w:color w:val="auto"/>
          <w:sz w:val="28"/>
          <w:szCs w:val="28"/>
        </w:rPr>
        <w:t>EL ACUERDO DE ASOCIACIÓN</w:t>
      </w:r>
      <w:r w:rsidR="00BA2F55" w:rsidRPr="009B0CB4">
        <w:rPr>
          <w:rStyle w:val="Referenciaintensa"/>
          <w:color w:val="auto"/>
          <w:sz w:val="28"/>
          <w:szCs w:val="28"/>
        </w:rPr>
        <w:t xml:space="preserve"> DE ESPAÑA</w:t>
      </w:r>
      <w:r w:rsidRPr="009B0CB4">
        <w:rPr>
          <w:rStyle w:val="Referenciaintensa"/>
          <w:color w:val="auto"/>
          <w:sz w:val="28"/>
          <w:szCs w:val="28"/>
        </w:rPr>
        <w:t xml:space="preserve"> 2014-2020</w:t>
      </w:r>
      <w:r w:rsidR="00BA2F55" w:rsidRPr="009B0CB4">
        <w:rPr>
          <w:rStyle w:val="Referenciaintensa"/>
          <w:color w:val="auto"/>
          <w:sz w:val="28"/>
          <w:szCs w:val="28"/>
        </w:rPr>
        <w:t xml:space="preserve"> ENVIADO A LA COMISIÓN EUROPEA (22-abril-2014)</w:t>
      </w:r>
    </w:p>
    <w:p w:rsidR="006630AD" w:rsidRPr="00F07E7D" w:rsidRDefault="006630AD" w:rsidP="006630AD">
      <w:pPr>
        <w:rPr>
          <w:rStyle w:val="Referenciaintensa"/>
          <w:color w:val="auto"/>
          <w:sz w:val="28"/>
          <w:szCs w:val="28"/>
        </w:rPr>
      </w:pPr>
      <w:r w:rsidRPr="00F07E7D">
        <w:rPr>
          <w:rStyle w:val="Referenciaintensa"/>
          <w:color w:val="auto"/>
          <w:sz w:val="28"/>
          <w:szCs w:val="28"/>
        </w:rPr>
        <w:t>Antecedentes</w:t>
      </w:r>
    </w:p>
    <w:p w:rsidR="007802B2" w:rsidRPr="00ED2A93" w:rsidRDefault="007802B2" w:rsidP="006630AD">
      <w:r w:rsidRPr="00ED2A93">
        <w:t xml:space="preserve">El Consejo de Ministros con fecha 21 de marzo de 2014 presentó el </w:t>
      </w:r>
      <w:r w:rsidRPr="009B0CB4">
        <w:t xml:space="preserve">borrador de Acuerdo de Asociación para el nuevo periodo 2014-2020. </w:t>
      </w:r>
      <w:r w:rsidRPr="00ED2A93">
        <w:t>Tras la presentación del borrador</w:t>
      </w:r>
      <w:r w:rsidR="00CE2BAD">
        <w:t>, el Ministerio</w:t>
      </w:r>
      <w:r w:rsidRPr="00ED2A93">
        <w:t xml:space="preserve"> de Hacienda y Administraciones Públicas inició un proceso de información pública dando así continuidad al proceso de partenariado puesto en marcha desde el inicio de su redacción.</w:t>
      </w:r>
    </w:p>
    <w:p w:rsidR="00804517" w:rsidRDefault="00CE2BAD" w:rsidP="006630AD">
      <w:pPr>
        <w:rPr>
          <w:u w:val="single"/>
        </w:rPr>
      </w:pPr>
      <w:r>
        <w:t>En</w:t>
      </w:r>
      <w:r w:rsidR="007802B2" w:rsidRPr="00ED2A93">
        <w:t xml:space="preserve"> respuesta a la </w:t>
      </w:r>
      <w:r w:rsidR="00716A17" w:rsidRPr="00ED2A93">
        <w:t>invitación</w:t>
      </w:r>
      <w:r w:rsidR="007802B2" w:rsidRPr="00ED2A93">
        <w:t xml:space="preserve"> a participar en la Consulta Pública </w:t>
      </w:r>
      <w:r w:rsidR="00ED2A93" w:rsidRPr="00ED2A93">
        <w:t xml:space="preserve">convocada por el </w:t>
      </w:r>
      <w:r w:rsidR="00ED2A93">
        <w:t>Ministerio</w:t>
      </w:r>
      <w:r w:rsidR="00ED2A93" w:rsidRPr="00ED2A93">
        <w:t>, desde el movimiento de la discapacidad</w:t>
      </w:r>
      <w:r w:rsidR="00ED2A93" w:rsidRPr="00774A53">
        <w:t>, representado por el CERMI,</w:t>
      </w:r>
      <w:r w:rsidR="00ED2A93" w:rsidRPr="00ED2A93">
        <w:t xml:space="preserve"> remitimos nuestras apor</w:t>
      </w:r>
      <w:r w:rsidR="009B0CB4">
        <w:t>taciones a fin de que contribuyera</w:t>
      </w:r>
      <w:r w:rsidR="00ED2A93" w:rsidRPr="00ED2A93">
        <w:t xml:space="preserve">n a mejorar la calidad y adecuación del Acuerdo de Asociación de España 2014-2020, especialmente en lo relativo a los aspectos vinculados con </w:t>
      </w:r>
      <w:r w:rsidR="00ED2A93" w:rsidRPr="00ED2A93">
        <w:rPr>
          <w:u w:val="single"/>
        </w:rPr>
        <w:t>la inclusión social de las</w:t>
      </w:r>
      <w:r w:rsidR="00CA776B">
        <w:rPr>
          <w:u w:val="single"/>
        </w:rPr>
        <w:t xml:space="preserve"> personas con discapacidad y</w:t>
      </w:r>
      <w:r w:rsidR="00ED2A93" w:rsidRPr="00ED2A93">
        <w:rPr>
          <w:u w:val="single"/>
        </w:rPr>
        <w:t xml:space="preserve"> la accesibilidad universal.</w:t>
      </w:r>
    </w:p>
    <w:p w:rsidR="009C074F" w:rsidRPr="009C074F" w:rsidRDefault="009C074F" w:rsidP="006630AD">
      <w:r w:rsidRPr="009C074F">
        <w:t>Con fecha 22 de abril de 2014</w:t>
      </w:r>
      <w:r>
        <w:t xml:space="preserve">, el Ministerio de Hacienda y Administraciones Públicas remitió a la Comisión Europea </w:t>
      </w:r>
      <w:r w:rsidRPr="009B0CB4">
        <w:rPr>
          <w:b/>
        </w:rPr>
        <w:t xml:space="preserve">la propuesta de </w:t>
      </w:r>
      <w:hyperlink r:id="rId11" w:history="1">
        <w:r w:rsidRPr="004D266A">
          <w:rPr>
            <w:rStyle w:val="Hipervnculo"/>
            <w:b/>
          </w:rPr>
          <w:t>Acuerdo de Asociación de España 2014-2020</w:t>
        </w:r>
      </w:hyperlink>
      <w:r w:rsidRPr="009B0CB4">
        <w:rPr>
          <w:b/>
        </w:rPr>
        <w:t>.</w:t>
      </w:r>
      <w:r>
        <w:t xml:space="preserve"> Se inicia ahora un </w:t>
      </w:r>
      <w:r w:rsidRPr="00BD1DC9">
        <w:rPr>
          <w:u w:val="single"/>
        </w:rPr>
        <w:t>periodo de negociación de máximo cuatro meses</w:t>
      </w:r>
      <w:r>
        <w:t xml:space="preserve"> hasta la aprobación definitiva. </w:t>
      </w:r>
    </w:p>
    <w:p w:rsidR="004205B9" w:rsidRDefault="004205B9" w:rsidP="006630AD">
      <w:pPr>
        <w:rPr>
          <w:rStyle w:val="Referenciaintensa"/>
          <w:b w:val="0"/>
          <w:bCs w:val="0"/>
          <w:smallCaps w:val="0"/>
          <w:color w:val="auto"/>
          <w:spacing w:val="0"/>
          <w:sz w:val="24"/>
        </w:rPr>
      </w:pPr>
    </w:p>
    <w:p w:rsidR="00BA2F55" w:rsidRDefault="00602443" w:rsidP="006630AD">
      <w:pPr>
        <w:rPr>
          <w:rStyle w:val="Referenciaintensa"/>
          <w:color w:val="auto"/>
          <w:sz w:val="28"/>
          <w:szCs w:val="28"/>
        </w:rPr>
      </w:pPr>
      <w:r>
        <w:rPr>
          <w:rStyle w:val="Referenciaintensa"/>
          <w:color w:val="auto"/>
          <w:sz w:val="28"/>
          <w:szCs w:val="28"/>
        </w:rPr>
        <w:t>Conclusiones:</w:t>
      </w:r>
    </w:p>
    <w:p w:rsidR="004205B9" w:rsidRDefault="00D82C98" w:rsidP="00D82C98">
      <w:r>
        <w:t xml:space="preserve">En </w:t>
      </w:r>
      <w:r w:rsidR="004205B9">
        <w:t>términos</w:t>
      </w:r>
      <w:r>
        <w:t xml:space="preserve"> generales</w:t>
      </w:r>
      <w:r w:rsidR="009B0CB4">
        <w:t>,</w:t>
      </w:r>
      <w:r>
        <w:t xml:space="preserve"> damos la bienvenida a la propuesta de Acuerdo de Asociación </w:t>
      </w:r>
      <w:r w:rsidR="009B0CB4">
        <w:t>emitida</w:t>
      </w:r>
      <w:r>
        <w:t xml:space="preserve"> c</w:t>
      </w:r>
      <w:r w:rsidRPr="009C074F">
        <w:t>on fecha 22 de abril de 2014</w:t>
      </w:r>
      <w:r>
        <w:t>, por el Ministerio de Hacienda y Administraciones Públicas y remiti</w:t>
      </w:r>
      <w:r w:rsidR="009B0CB4">
        <w:t>da</w:t>
      </w:r>
      <w:r>
        <w:t xml:space="preserve"> a la Comisión Europea par</w:t>
      </w:r>
      <w:r w:rsidR="00445B9B">
        <w:t>a</w:t>
      </w:r>
      <w:r w:rsidR="009B0CB4">
        <w:t xml:space="preserve"> su</w:t>
      </w:r>
      <w:r>
        <w:t xml:space="preserve"> aprobación definitiva. </w:t>
      </w:r>
    </w:p>
    <w:p w:rsidR="004205B9" w:rsidRDefault="004205B9" w:rsidP="00D82C98">
      <w:r>
        <w:t xml:space="preserve">En este sentido cabe destacar que </w:t>
      </w:r>
      <w:r w:rsidRPr="00E64FE4">
        <w:rPr>
          <w:u w:val="single"/>
        </w:rPr>
        <w:t>la gran mayoría de nuestras aportaciones/enmiendas han sido tenidas en cuenta y en</w:t>
      </w:r>
      <w:r w:rsidR="009B0CB4" w:rsidRPr="00E64FE4">
        <w:rPr>
          <w:u w:val="single"/>
        </w:rPr>
        <w:t xml:space="preserve"> especial</w:t>
      </w:r>
      <w:r w:rsidRPr="00E64FE4">
        <w:rPr>
          <w:u w:val="single"/>
        </w:rPr>
        <w:t xml:space="preserve"> la referida al </w:t>
      </w:r>
      <w:r w:rsidRPr="00E64FE4">
        <w:rPr>
          <w:b/>
          <w:u w:val="single"/>
        </w:rPr>
        <w:t>Objetivo horizontal de Accesibilidad</w:t>
      </w:r>
      <w:r>
        <w:t xml:space="preserve"> que aporta a este documento un tratamiento sobre este tema más equilibrado y en línea con </w:t>
      </w:r>
      <w:r w:rsidR="009B0CB4">
        <w:t>“</w:t>
      </w:r>
      <w:r w:rsidRPr="009B0CB4">
        <w:rPr>
          <w:i/>
        </w:rPr>
        <w:t>la Estrategia de Discapacidad Española 2012-2020</w:t>
      </w:r>
      <w:r w:rsidR="009B0CB4">
        <w:rPr>
          <w:i/>
        </w:rPr>
        <w:t>”</w:t>
      </w:r>
      <w:r>
        <w:t xml:space="preserve"> para poder hacer efectivo este principio horizontal. </w:t>
      </w:r>
    </w:p>
    <w:p w:rsidR="0096060B" w:rsidRDefault="004205B9" w:rsidP="00D82C98">
      <w:r>
        <w:t>A continuación</w:t>
      </w:r>
      <w:r w:rsidR="00445B9B">
        <w:t xml:space="preserve"> hemos elaborado una </w:t>
      </w:r>
      <w:r w:rsidR="00445B9B" w:rsidRPr="009B0CB4">
        <w:rPr>
          <w:b/>
        </w:rPr>
        <w:t xml:space="preserve">tabla </w:t>
      </w:r>
      <w:r w:rsidRPr="009B0CB4">
        <w:rPr>
          <w:b/>
        </w:rPr>
        <w:t>comparativa</w:t>
      </w:r>
      <w:r w:rsidR="00445B9B">
        <w:t xml:space="preserve"> analizando </w:t>
      </w:r>
      <w:r w:rsidR="009B0CB4">
        <w:t>el borrador de propuesta de Acuerdo de Asociación 2014-2020, nuestr</w:t>
      </w:r>
      <w:r w:rsidR="00BD1DC9">
        <w:t xml:space="preserve">as aportaciones </w:t>
      </w:r>
      <w:r w:rsidR="00E64FE4">
        <w:t xml:space="preserve">(CERMI) </w:t>
      </w:r>
      <w:r w:rsidR="00BD1DC9">
        <w:t>a la Consulta Pú</w:t>
      </w:r>
      <w:r w:rsidR="009B0CB4">
        <w:t xml:space="preserve">blica </w:t>
      </w:r>
      <w:r w:rsidR="00BD1DC9">
        <w:t>sobre</w:t>
      </w:r>
      <w:r w:rsidR="009B0CB4">
        <w:t xml:space="preserve"> el Acuerdo de </w:t>
      </w:r>
      <w:r w:rsidR="00BD1DC9">
        <w:t>Asociación</w:t>
      </w:r>
      <w:r w:rsidR="009B0CB4">
        <w:t xml:space="preserve"> y la propuesta de Acuerdo de </w:t>
      </w:r>
      <w:r w:rsidR="00BD1DC9">
        <w:t>Asociación</w:t>
      </w:r>
      <w:r w:rsidR="009B0CB4">
        <w:t xml:space="preserve"> 2014-2020 enviada a la Comisión Europea</w:t>
      </w:r>
      <w:r w:rsidR="00EB3C56">
        <w:t xml:space="preserve">. </w:t>
      </w:r>
    </w:p>
    <w:p w:rsidR="00E64FE4" w:rsidRDefault="00E64FE4" w:rsidP="00445B9B">
      <w:pPr>
        <w:rPr>
          <w:rStyle w:val="Referenciaintensa"/>
          <w:color w:val="auto"/>
          <w:sz w:val="32"/>
          <w:szCs w:val="32"/>
        </w:rPr>
      </w:pPr>
    </w:p>
    <w:p w:rsidR="006630AD" w:rsidRPr="008303B4" w:rsidRDefault="00602443" w:rsidP="00445B9B">
      <w:pPr>
        <w:rPr>
          <w:rStyle w:val="Referenciaintensa"/>
          <w:color w:val="auto"/>
          <w:sz w:val="32"/>
          <w:szCs w:val="32"/>
        </w:rPr>
      </w:pPr>
      <w:r>
        <w:rPr>
          <w:rStyle w:val="Referenciaintensa"/>
          <w:color w:val="auto"/>
          <w:sz w:val="32"/>
          <w:szCs w:val="32"/>
        </w:rPr>
        <w:lastRenderedPageBreak/>
        <w:t xml:space="preserve">TABLA </w:t>
      </w:r>
      <w:r w:rsidR="004205B9">
        <w:rPr>
          <w:rStyle w:val="Referenciaintensa"/>
          <w:color w:val="auto"/>
          <w:sz w:val="32"/>
          <w:szCs w:val="32"/>
        </w:rPr>
        <w:t>COMPARATIVA</w:t>
      </w:r>
      <w:r>
        <w:rPr>
          <w:rStyle w:val="Referenciaintensa"/>
          <w:color w:val="auto"/>
          <w:sz w:val="32"/>
          <w:szCs w:val="32"/>
        </w:rPr>
        <w:t xml:space="preserve">: </w:t>
      </w:r>
      <w:r w:rsidR="009C074F" w:rsidRPr="008303B4">
        <w:rPr>
          <w:rStyle w:val="Referenciaintensa"/>
          <w:color w:val="auto"/>
          <w:sz w:val="32"/>
          <w:szCs w:val="32"/>
        </w:rPr>
        <w:t>Análisis</w:t>
      </w:r>
      <w:r>
        <w:rPr>
          <w:rStyle w:val="Referenciaintensa"/>
          <w:color w:val="auto"/>
          <w:sz w:val="32"/>
          <w:szCs w:val="32"/>
        </w:rPr>
        <w:t xml:space="preserve"> de los resultados de las</w:t>
      </w:r>
      <w:r w:rsidR="009C074F" w:rsidRPr="008303B4">
        <w:rPr>
          <w:rStyle w:val="Referenciaintensa"/>
          <w:color w:val="auto"/>
          <w:sz w:val="32"/>
          <w:szCs w:val="32"/>
        </w:rPr>
        <w:t xml:space="preserve"> aportaciones a la consulta pública</w:t>
      </w:r>
    </w:p>
    <w:p w:rsidR="00ED7BEB" w:rsidRDefault="006630AD" w:rsidP="00740E54">
      <w:r>
        <w:t>Con el fin de f</w:t>
      </w:r>
      <w:r w:rsidR="00CA776B">
        <w:t>acilitar la valoración y la</w:t>
      </w:r>
      <w:r>
        <w:t xml:space="preserve"> incorporación de las aportacion</w:t>
      </w:r>
      <w:r w:rsidR="00BE48C8">
        <w:t>es sugeridas</w:t>
      </w:r>
      <w:r w:rsidR="008303B4">
        <w:t xml:space="preserve"> y adoptadas en el Acuerdo de </w:t>
      </w:r>
      <w:r w:rsidR="004205B9">
        <w:t>Asociación</w:t>
      </w:r>
      <w:r w:rsidR="008303B4">
        <w:t xml:space="preserve"> (AdA)</w:t>
      </w:r>
      <w:r w:rsidR="00BE48C8">
        <w:t>, éstas se centran</w:t>
      </w:r>
      <w:r>
        <w:t xml:space="preserve"> en puntos y aspectos concretos del documento previamente </w:t>
      </w:r>
      <w:r w:rsidR="00BD1DC9">
        <w:t>identificados, de</w:t>
      </w:r>
      <w:r w:rsidR="008303B4">
        <w:t xml:space="preserve"> las </w:t>
      </w:r>
      <w:r w:rsidR="004205B9">
        <w:t>distintas</w:t>
      </w:r>
      <w:r w:rsidR="008303B4">
        <w:t xml:space="preserve"> versiones del AdA y de las aportaciones del </w:t>
      </w:r>
      <w:proofErr w:type="gramStart"/>
      <w:r w:rsidR="008303B4">
        <w:t xml:space="preserve">CERMI </w:t>
      </w:r>
      <w:r w:rsidR="00604423">
        <w:t>.</w:t>
      </w:r>
      <w:proofErr w:type="gramEnd"/>
      <w:r w:rsidR="00604423">
        <w:t xml:space="preserve"> </w:t>
      </w:r>
    </w:p>
    <w:p w:rsidR="00E64FE4" w:rsidRDefault="00604423" w:rsidP="00E64FE4">
      <w:pPr>
        <w:rPr>
          <w:b/>
          <w:sz w:val="20"/>
          <w:szCs w:val="20"/>
        </w:rPr>
      </w:pPr>
      <w:r w:rsidRPr="00796496">
        <w:rPr>
          <w:b/>
          <w:u w:val="single"/>
        </w:rPr>
        <w:t>Tabla comparativa</w:t>
      </w:r>
      <w:r w:rsidR="006630AD" w:rsidRPr="00796496">
        <w:rPr>
          <w:b/>
          <w:u w:val="single"/>
        </w:rPr>
        <w:t>:</w:t>
      </w:r>
      <w:r w:rsidR="00E64FE4" w:rsidRPr="00E64FE4">
        <w:rPr>
          <w:b/>
          <w:sz w:val="20"/>
          <w:szCs w:val="20"/>
        </w:rPr>
        <w:t xml:space="preserve"> </w:t>
      </w:r>
    </w:p>
    <w:p w:rsidR="00E64FE4" w:rsidRPr="00E30C74" w:rsidRDefault="00E64FE4" w:rsidP="00E64FE4">
      <w:pPr>
        <w:rPr>
          <w:sz w:val="20"/>
          <w:szCs w:val="20"/>
        </w:rPr>
      </w:pPr>
      <w:r w:rsidRPr="0096060B">
        <w:rPr>
          <w:b/>
          <w:sz w:val="20"/>
          <w:szCs w:val="20"/>
        </w:rPr>
        <w:t>Nota:</w:t>
      </w:r>
      <w:r w:rsidRPr="0096060B">
        <w:rPr>
          <w:sz w:val="20"/>
          <w:szCs w:val="20"/>
        </w:rPr>
        <w:t xml:space="preserve"> En </w:t>
      </w:r>
      <w:r w:rsidRPr="00E64FE4">
        <w:rPr>
          <w:b/>
          <w:color w:val="00B050"/>
          <w:sz w:val="20"/>
          <w:szCs w:val="20"/>
        </w:rPr>
        <w:t xml:space="preserve">verde </w:t>
      </w:r>
      <w:r w:rsidRPr="0096060B">
        <w:rPr>
          <w:sz w:val="20"/>
          <w:szCs w:val="20"/>
        </w:rPr>
        <w:t xml:space="preserve">aportaciones del CERMI tenidas en cuenta y en </w:t>
      </w:r>
      <w:r w:rsidRPr="00E64FE4">
        <w:rPr>
          <w:b/>
          <w:sz w:val="20"/>
          <w:szCs w:val="20"/>
        </w:rPr>
        <w:t>negrita</w:t>
      </w:r>
      <w:r>
        <w:rPr>
          <w:sz w:val="20"/>
          <w:szCs w:val="20"/>
        </w:rPr>
        <w:t xml:space="preserve"> la </w:t>
      </w:r>
      <w:r w:rsidR="00FF4E4C">
        <w:rPr>
          <w:sz w:val="20"/>
          <w:szCs w:val="20"/>
        </w:rPr>
        <w:t>versión</w:t>
      </w:r>
      <w:r>
        <w:rPr>
          <w:sz w:val="20"/>
          <w:szCs w:val="20"/>
        </w:rPr>
        <w:t xml:space="preserve"> final de la redacción </w:t>
      </w:r>
      <w:r w:rsidRPr="0096060B">
        <w:rPr>
          <w:sz w:val="20"/>
          <w:szCs w:val="20"/>
        </w:rPr>
        <w:t>de la propuesta</w:t>
      </w:r>
      <w:r>
        <w:rPr>
          <w:sz w:val="20"/>
          <w:szCs w:val="20"/>
        </w:rPr>
        <w:t xml:space="preserve"> del AdA </w:t>
      </w:r>
      <w:r w:rsidRPr="00E30C74">
        <w:rPr>
          <w:sz w:val="20"/>
          <w:szCs w:val="20"/>
        </w:rPr>
        <w:t>tal y como ha sido remitida a la CE.</w:t>
      </w:r>
    </w:p>
    <w:p w:rsidR="004E26C0" w:rsidRDefault="004E26C0" w:rsidP="008303B4">
      <w:pPr>
        <w:pStyle w:val="Bolos"/>
        <w:numPr>
          <w:ilvl w:val="0"/>
          <w:numId w:val="0"/>
        </w:numPr>
        <w:rPr>
          <w:b/>
          <w:i/>
          <w:u w:val="single"/>
        </w:rPr>
      </w:pPr>
    </w:p>
    <w:p w:rsidR="00BA2F55" w:rsidRPr="008303B4" w:rsidRDefault="006630AD" w:rsidP="008303B4">
      <w:pPr>
        <w:pStyle w:val="Bolos"/>
        <w:numPr>
          <w:ilvl w:val="0"/>
          <w:numId w:val="0"/>
        </w:numPr>
        <w:rPr>
          <w:sz w:val="20"/>
          <w:szCs w:val="20"/>
          <w:lang w:val="es-ES_tradnl"/>
        </w:rPr>
      </w:pPr>
      <w:r w:rsidRPr="00F90606">
        <w:rPr>
          <w:b/>
          <w:i/>
          <w:u w:val="single"/>
        </w:rPr>
        <w:t>Punto: 1.1.3.5. Experiencia del período 2007-2013 y situació</w:t>
      </w:r>
      <w:r w:rsidR="00BE48C8">
        <w:rPr>
          <w:b/>
          <w:i/>
          <w:u w:val="single"/>
        </w:rPr>
        <w:t>n de los programas de 2007-2013</w:t>
      </w:r>
      <w:r w:rsidR="00BE48C8">
        <w:rPr>
          <w:b/>
          <w:i/>
          <w:u w:val="single"/>
          <w:lang w:val="es-ES_tradnl"/>
        </w:rPr>
        <w:t xml:space="preserve"> </w:t>
      </w:r>
      <w:r w:rsidRPr="00F90606">
        <w:rPr>
          <w:b/>
          <w:i/>
          <w:u w:val="single"/>
        </w:rPr>
        <w:t>respecto al logro de los objetivos previstos</w:t>
      </w:r>
      <w:r w:rsidR="004D2102">
        <w:rPr>
          <w:b/>
          <w:i/>
          <w:u w:val="single"/>
          <w:lang w:val="es-ES_tradn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4253"/>
        <w:gridCol w:w="5103"/>
      </w:tblGrid>
      <w:tr w:rsidR="009C074F" w:rsidTr="00E01FFF">
        <w:tc>
          <w:tcPr>
            <w:tcW w:w="4219" w:type="dxa"/>
            <w:shd w:val="clear" w:color="auto" w:fill="7C9FCF"/>
          </w:tcPr>
          <w:p w:rsidR="00BA2F55" w:rsidRPr="00E01FFF" w:rsidRDefault="009C074F" w:rsidP="00E01FFF">
            <w:pPr>
              <w:jc w:val="center"/>
              <w:rPr>
                <w:b/>
                <w:lang w:val="es-ES_tradnl"/>
              </w:rPr>
            </w:pPr>
            <w:r w:rsidRPr="00E01FFF">
              <w:rPr>
                <w:b/>
                <w:lang w:val="es-ES_tradnl"/>
              </w:rPr>
              <w:t xml:space="preserve">Borrador </w:t>
            </w:r>
            <w:r w:rsidR="00BA2F55" w:rsidRPr="00E01FFF">
              <w:rPr>
                <w:b/>
                <w:lang w:val="es-ES_tradnl"/>
              </w:rPr>
              <w:t>AdA (21-03-14)</w:t>
            </w:r>
            <w:r w:rsidR="00B16883" w:rsidRPr="00E01FFF">
              <w:rPr>
                <w:sz w:val="20"/>
                <w:szCs w:val="20"/>
              </w:rPr>
              <w:t xml:space="preserve"> (Pág. 23</w:t>
            </w:r>
            <w:r w:rsidR="00B16883" w:rsidRPr="00E01FFF">
              <w:rPr>
                <w:sz w:val="20"/>
                <w:szCs w:val="20"/>
                <w:lang w:val="es-ES_tradnl"/>
              </w:rPr>
              <w:t>)</w:t>
            </w:r>
          </w:p>
        </w:tc>
        <w:tc>
          <w:tcPr>
            <w:tcW w:w="4253" w:type="dxa"/>
            <w:shd w:val="clear" w:color="auto" w:fill="7C9FCF"/>
          </w:tcPr>
          <w:p w:rsidR="009C074F" w:rsidRPr="00E01FFF" w:rsidRDefault="00BA2F55" w:rsidP="00E01FFF">
            <w:pPr>
              <w:jc w:val="center"/>
              <w:rPr>
                <w:b/>
                <w:lang w:val="es-ES_tradnl"/>
              </w:rPr>
            </w:pPr>
            <w:r w:rsidRPr="00E01FFF">
              <w:rPr>
                <w:b/>
                <w:lang w:val="es-ES_tradnl"/>
              </w:rPr>
              <w:t>Aportaciones CERMI</w:t>
            </w:r>
            <w:r w:rsidR="00E64FE4" w:rsidRPr="00E01FFF">
              <w:rPr>
                <w:b/>
                <w:lang w:val="es-ES_tradnl"/>
              </w:rPr>
              <w:t xml:space="preserve"> </w:t>
            </w:r>
            <w:r w:rsidR="00B16883" w:rsidRPr="00E01FFF">
              <w:rPr>
                <w:sz w:val="20"/>
                <w:szCs w:val="20"/>
              </w:rPr>
              <w:t>(Pág. 23</w:t>
            </w:r>
            <w:r w:rsidR="00B16883" w:rsidRPr="00E01FFF">
              <w:rPr>
                <w:sz w:val="20"/>
                <w:szCs w:val="20"/>
                <w:lang w:val="es-ES_tradnl"/>
              </w:rPr>
              <w:t>)</w:t>
            </w:r>
          </w:p>
        </w:tc>
        <w:tc>
          <w:tcPr>
            <w:tcW w:w="5103" w:type="dxa"/>
            <w:shd w:val="clear" w:color="auto" w:fill="7C9FCF"/>
          </w:tcPr>
          <w:p w:rsidR="009C074F" w:rsidRPr="00E01FFF" w:rsidRDefault="009E7152" w:rsidP="00E01FFF">
            <w:pPr>
              <w:jc w:val="center"/>
              <w:rPr>
                <w:b/>
                <w:lang w:val="es-ES_tradnl"/>
              </w:rPr>
            </w:pPr>
            <w:r w:rsidRPr="00E01FFF">
              <w:rPr>
                <w:b/>
                <w:lang w:val="es-ES_tradnl"/>
              </w:rPr>
              <w:t>Versió</w:t>
            </w:r>
            <w:r w:rsidR="00BA2F55" w:rsidRPr="00E01FFF">
              <w:rPr>
                <w:b/>
                <w:lang w:val="es-ES_tradnl"/>
              </w:rPr>
              <w:t>n del AdA enviado a CE (22-04-14</w:t>
            </w:r>
            <w:r w:rsidR="00EF15B6" w:rsidRPr="00E01FFF">
              <w:rPr>
                <w:b/>
                <w:lang w:val="es-ES_tradnl"/>
              </w:rPr>
              <w:t>)</w:t>
            </w:r>
            <w:r w:rsidR="00604423" w:rsidRPr="00E01FFF">
              <w:rPr>
                <w:b/>
                <w:lang w:val="es-ES_tradnl"/>
              </w:rPr>
              <w:t xml:space="preserve"> </w:t>
            </w:r>
            <w:r w:rsidR="00604423" w:rsidRPr="00E01FFF">
              <w:rPr>
                <w:sz w:val="20"/>
                <w:szCs w:val="20"/>
              </w:rPr>
              <w:t>(Pág. 24</w:t>
            </w:r>
            <w:r w:rsidR="00604423" w:rsidRPr="00E01FFF">
              <w:rPr>
                <w:sz w:val="20"/>
                <w:szCs w:val="20"/>
                <w:lang w:val="es-ES_tradnl"/>
              </w:rPr>
              <w:t>)</w:t>
            </w:r>
          </w:p>
        </w:tc>
      </w:tr>
      <w:tr w:rsidR="009C074F" w:rsidTr="00E01FFF">
        <w:trPr>
          <w:trHeight w:val="3002"/>
        </w:trPr>
        <w:tc>
          <w:tcPr>
            <w:tcW w:w="4219" w:type="dxa"/>
          </w:tcPr>
          <w:p w:rsidR="009C074F" w:rsidRPr="00E01FFF" w:rsidRDefault="009C074F" w:rsidP="009C074F">
            <w:pPr>
              <w:rPr>
                <w:lang w:val="es-ES_tradnl"/>
              </w:rPr>
            </w:pPr>
          </w:p>
        </w:tc>
        <w:tc>
          <w:tcPr>
            <w:tcW w:w="4253" w:type="dxa"/>
          </w:tcPr>
          <w:p w:rsidR="00BA2F55" w:rsidRPr="00E01FFF" w:rsidRDefault="00BA2F55" w:rsidP="00E01FFF">
            <w:pPr>
              <w:pStyle w:val="Bolos"/>
              <w:numPr>
                <w:ilvl w:val="0"/>
                <w:numId w:val="0"/>
              </w:numPr>
              <w:rPr>
                <w:sz w:val="22"/>
                <w:szCs w:val="22"/>
                <w:lang w:val="es-ES"/>
              </w:rPr>
            </w:pPr>
            <w:r w:rsidRPr="00E01FFF">
              <w:rPr>
                <w:sz w:val="22"/>
                <w:szCs w:val="22"/>
                <w:lang w:val="es-ES"/>
              </w:rPr>
              <w:t xml:space="preserve">En los </w:t>
            </w:r>
            <w:r w:rsidRPr="00E01FFF">
              <w:rPr>
                <w:i/>
                <w:sz w:val="22"/>
                <w:szCs w:val="22"/>
                <w:lang w:val="es-ES"/>
              </w:rPr>
              <w:t>puntos fuertes de la gestión de Fondos</w:t>
            </w:r>
            <w:r w:rsidR="008303B4" w:rsidRPr="00E01FFF">
              <w:rPr>
                <w:sz w:val="22"/>
                <w:szCs w:val="22"/>
                <w:lang w:val="es-ES"/>
              </w:rPr>
              <w:t xml:space="preserve"> en España: </w:t>
            </w:r>
          </w:p>
          <w:p w:rsidR="009C074F" w:rsidRPr="00E01FFF" w:rsidRDefault="00BA2F55" w:rsidP="00EF15B6">
            <w:pPr>
              <w:rPr>
                <w:b/>
                <w:i/>
              </w:rPr>
            </w:pPr>
            <w:r w:rsidRPr="00E01FFF">
              <w:rPr>
                <w:b/>
                <w:sz w:val="22"/>
                <w:szCs w:val="22"/>
              </w:rPr>
              <w:t xml:space="preserve">Nuevo: </w:t>
            </w:r>
            <w:r w:rsidRPr="00E01FFF">
              <w:rPr>
                <w:i/>
                <w:sz w:val="22"/>
                <w:szCs w:val="22"/>
              </w:rPr>
              <w:t xml:space="preserve">Como </w:t>
            </w:r>
            <w:r w:rsidRPr="00E01FFF">
              <w:rPr>
                <w:i/>
                <w:color w:val="00B050"/>
                <w:sz w:val="22"/>
                <w:szCs w:val="22"/>
              </w:rPr>
              <w:t>experiencia positiva y punto fuerte de la gestión de Fondos en el periodo 2007-2013, cabe destacar el actual Programa Operativo de Lucha contra la Discriminación, reconocido en numerosas ocasiones como buena práctica a nivel europeo destacando los logros alcanzados a partir de la participación de las entidades de la sociedad civil en la gestión de fondos.</w:t>
            </w:r>
          </w:p>
        </w:tc>
        <w:tc>
          <w:tcPr>
            <w:tcW w:w="5103" w:type="dxa"/>
          </w:tcPr>
          <w:p w:rsidR="008303B4" w:rsidRPr="00E01FFF" w:rsidRDefault="008303B4" w:rsidP="00E01FFF">
            <w:pPr>
              <w:pStyle w:val="Bolos"/>
              <w:numPr>
                <w:ilvl w:val="0"/>
                <w:numId w:val="0"/>
              </w:numPr>
              <w:rPr>
                <w:sz w:val="22"/>
                <w:szCs w:val="22"/>
                <w:lang w:val="es-ES"/>
              </w:rPr>
            </w:pPr>
            <w:r w:rsidRPr="00E01FFF">
              <w:rPr>
                <w:sz w:val="22"/>
                <w:szCs w:val="22"/>
                <w:lang w:val="es-ES"/>
              </w:rPr>
              <w:t xml:space="preserve">En los </w:t>
            </w:r>
            <w:r w:rsidRPr="00E01FFF">
              <w:rPr>
                <w:i/>
                <w:sz w:val="22"/>
                <w:szCs w:val="22"/>
                <w:lang w:val="es-ES"/>
              </w:rPr>
              <w:t>puntos fuertes de la gestión de Fondos</w:t>
            </w:r>
            <w:r w:rsidRPr="00E01FFF">
              <w:rPr>
                <w:sz w:val="22"/>
                <w:szCs w:val="22"/>
                <w:lang w:val="es-ES"/>
              </w:rPr>
              <w:t xml:space="preserve"> en España: </w:t>
            </w:r>
          </w:p>
          <w:p w:rsidR="008303B4" w:rsidRPr="00E01FFF" w:rsidRDefault="008303B4" w:rsidP="00E01FFF">
            <w:pPr>
              <w:autoSpaceDE w:val="0"/>
              <w:autoSpaceDN w:val="0"/>
              <w:adjustRightInd w:val="0"/>
              <w:spacing w:before="0" w:after="0"/>
              <w:rPr>
                <w:rFonts w:eastAsia="Calibri" w:cs="TTFE62D370t00"/>
                <w:sz w:val="22"/>
                <w:szCs w:val="22"/>
              </w:rPr>
            </w:pPr>
          </w:p>
          <w:p w:rsidR="009C074F" w:rsidRPr="00E01FFF" w:rsidRDefault="008303B4" w:rsidP="00E01FFF">
            <w:pPr>
              <w:autoSpaceDE w:val="0"/>
              <w:autoSpaceDN w:val="0"/>
              <w:adjustRightInd w:val="0"/>
              <w:spacing w:before="0" w:after="0"/>
              <w:rPr>
                <w:rFonts w:eastAsia="Calibri" w:cs="TTFE62D370t00"/>
                <w:b/>
                <w:sz w:val="22"/>
                <w:szCs w:val="22"/>
              </w:rPr>
            </w:pPr>
            <w:r w:rsidRPr="00E01FFF">
              <w:rPr>
                <w:rFonts w:eastAsia="Calibri" w:cs="TTFE62D370t00"/>
                <w:b/>
                <w:sz w:val="22"/>
                <w:szCs w:val="22"/>
              </w:rPr>
              <w:t>Experiencias, reconocidas como buenas prácticas a nivel europeo, como es el caso del PO FSE de Lucha contra la Discriminación, en el que destacan los logros alcanzados a partir de la participación de las entidades de la sociedad civil en la gestión de fondos.</w:t>
            </w:r>
          </w:p>
        </w:tc>
      </w:tr>
    </w:tbl>
    <w:p w:rsidR="008303B4" w:rsidRPr="008303B4" w:rsidRDefault="008303B4" w:rsidP="009C074F">
      <w:pPr>
        <w:rPr>
          <w:b/>
          <w:lang w:val="es-ES_tradnl"/>
        </w:rPr>
      </w:pPr>
      <w:r w:rsidRPr="008303B4">
        <w:rPr>
          <w:b/>
          <w:lang w:val="es-ES_tradnl"/>
        </w:rPr>
        <w:t>Comentario:</w:t>
      </w:r>
    </w:p>
    <w:p w:rsidR="00716A17" w:rsidRPr="00ED7BEB" w:rsidRDefault="008303B4" w:rsidP="00ED7BEB">
      <w:pPr>
        <w:rPr>
          <w:lang w:val="es-ES_tradnl"/>
        </w:rPr>
      </w:pPr>
      <w:r>
        <w:rPr>
          <w:lang w:val="es-ES_tradnl"/>
        </w:rPr>
        <w:t xml:space="preserve">La </w:t>
      </w:r>
      <w:r w:rsidR="004205B9">
        <w:rPr>
          <w:lang w:val="es-ES_tradnl"/>
        </w:rPr>
        <w:t>aportación</w:t>
      </w:r>
      <w:r>
        <w:rPr>
          <w:lang w:val="es-ES_tradnl"/>
        </w:rPr>
        <w:t xml:space="preserve"> ha sido </w:t>
      </w:r>
      <w:r w:rsidR="004205B9">
        <w:rPr>
          <w:lang w:val="es-ES_tradnl"/>
        </w:rPr>
        <w:t>incorporada</w:t>
      </w:r>
      <w:r>
        <w:rPr>
          <w:lang w:val="es-ES_tradnl"/>
        </w:rPr>
        <w:t xml:space="preserve"> </w:t>
      </w:r>
      <w:r w:rsidR="000B7F44">
        <w:rPr>
          <w:lang w:val="es-ES_tradnl"/>
        </w:rPr>
        <w:t xml:space="preserve">a la versión del </w:t>
      </w:r>
      <w:r w:rsidR="00ED7BEB">
        <w:rPr>
          <w:lang w:val="es-ES_tradnl"/>
        </w:rPr>
        <w:t>AdA enviado a la Comisión Europea. Se pone de manifiesto como experiencia positiva y buena práctica el Programa Operativo de Lucha contra la Discriminación</w:t>
      </w:r>
      <w:r w:rsidR="00796496">
        <w:rPr>
          <w:lang w:val="es-ES_tradnl"/>
        </w:rPr>
        <w:t xml:space="preserve"> que ha sido reconocido como tal </w:t>
      </w:r>
      <w:r w:rsidR="0032723C" w:rsidRPr="0032723C">
        <w:rPr>
          <w:lang w:val="es-ES_tradnl"/>
        </w:rPr>
        <w:t>en la UE. Es un elemento positivo de la cara a la nueva programación ya que hace hincapié en que uno de sus logros es la participación de entidades de la sociedad civil.</w:t>
      </w:r>
    </w:p>
    <w:p w:rsidR="006630AD" w:rsidRDefault="006630AD" w:rsidP="00804517">
      <w:pPr>
        <w:pStyle w:val="Bolos"/>
        <w:numPr>
          <w:ilvl w:val="0"/>
          <w:numId w:val="0"/>
        </w:numPr>
        <w:rPr>
          <w:lang w:val="es-ES_tradnl"/>
        </w:rPr>
      </w:pPr>
      <w:r w:rsidRPr="00F90606">
        <w:rPr>
          <w:b/>
          <w:i/>
          <w:u w:val="single"/>
        </w:rPr>
        <w:lastRenderedPageBreak/>
        <w:t xml:space="preserve">Punto 1.1.3.6. Otros estudios y evaluaciones que puedan haberse llevado a cabo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245"/>
        <w:gridCol w:w="4536"/>
      </w:tblGrid>
      <w:tr w:rsidR="00EF15B6" w:rsidRPr="00BA2F55" w:rsidTr="00E01FFF">
        <w:tc>
          <w:tcPr>
            <w:tcW w:w="3794" w:type="dxa"/>
            <w:shd w:val="clear" w:color="auto" w:fill="7C9FCF"/>
          </w:tcPr>
          <w:p w:rsidR="00EF15B6" w:rsidRPr="00E01FFF" w:rsidRDefault="00EF15B6" w:rsidP="00E01FFF">
            <w:pPr>
              <w:jc w:val="center"/>
              <w:rPr>
                <w:b/>
                <w:lang w:val="es-ES_tradnl"/>
              </w:rPr>
            </w:pPr>
            <w:r w:rsidRPr="00E01FFF">
              <w:rPr>
                <w:b/>
                <w:lang w:val="es-ES_tradnl"/>
              </w:rPr>
              <w:t>Borrador AdA (21-03-14)</w:t>
            </w:r>
            <w:r w:rsidRPr="00E01FFF">
              <w:rPr>
                <w:sz w:val="20"/>
                <w:szCs w:val="20"/>
              </w:rPr>
              <w:t xml:space="preserve"> (Pág. 23</w:t>
            </w:r>
            <w:r w:rsidRPr="00E01FFF">
              <w:rPr>
                <w:sz w:val="20"/>
                <w:szCs w:val="20"/>
                <w:lang w:val="es-ES_tradnl"/>
              </w:rPr>
              <w:t xml:space="preserve">) </w:t>
            </w:r>
          </w:p>
        </w:tc>
        <w:tc>
          <w:tcPr>
            <w:tcW w:w="5245" w:type="dxa"/>
            <w:shd w:val="clear" w:color="auto" w:fill="7C9FCF"/>
          </w:tcPr>
          <w:p w:rsidR="00EF15B6" w:rsidRPr="00E01FFF" w:rsidRDefault="00EF15B6" w:rsidP="00E01FFF">
            <w:pPr>
              <w:jc w:val="center"/>
              <w:rPr>
                <w:b/>
                <w:lang w:val="es-ES_tradnl"/>
              </w:rPr>
            </w:pPr>
            <w:r w:rsidRPr="00E01FFF">
              <w:rPr>
                <w:b/>
                <w:lang w:val="es-ES_tradnl"/>
              </w:rPr>
              <w:t>Aportaciones CERMI</w:t>
            </w:r>
            <w:r w:rsidR="00B16883" w:rsidRPr="00E01FFF">
              <w:rPr>
                <w:b/>
                <w:lang w:val="es-ES_tradnl"/>
              </w:rPr>
              <w:t xml:space="preserve"> </w:t>
            </w:r>
            <w:r w:rsidRPr="00E01FFF">
              <w:rPr>
                <w:sz w:val="20"/>
                <w:szCs w:val="20"/>
              </w:rPr>
              <w:t>(Pág. 23</w:t>
            </w:r>
            <w:r w:rsidRPr="00E01FFF">
              <w:rPr>
                <w:sz w:val="20"/>
                <w:szCs w:val="20"/>
                <w:lang w:val="es-ES_tradnl"/>
              </w:rPr>
              <w:t xml:space="preserve">) </w:t>
            </w:r>
          </w:p>
        </w:tc>
        <w:tc>
          <w:tcPr>
            <w:tcW w:w="4536" w:type="dxa"/>
            <w:shd w:val="clear" w:color="auto" w:fill="7C9FCF"/>
          </w:tcPr>
          <w:p w:rsidR="00EF15B6" w:rsidRPr="00E01FFF" w:rsidRDefault="009E7152" w:rsidP="00E01FFF">
            <w:pPr>
              <w:jc w:val="center"/>
              <w:rPr>
                <w:b/>
                <w:lang w:val="es-ES_tradnl"/>
              </w:rPr>
            </w:pPr>
            <w:r w:rsidRPr="00E01FFF">
              <w:rPr>
                <w:b/>
                <w:lang w:val="es-ES_tradnl"/>
              </w:rPr>
              <w:t>Versió</w:t>
            </w:r>
            <w:r w:rsidR="00EF15B6" w:rsidRPr="00E01FFF">
              <w:rPr>
                <w:b/>
                <w:lang w:val="es-ES_tradnl"/>
              </w:rPr>
              <w:t>n del AdA enviado a CE (22-04-14)</w:t>
            </w:r>
          </w:p>
        </w:tc>
      </w:tr>
      <w:tr w:rsidR="00EF15B6" w:rsidTr="00E01FFF">
        <w:tc>
          <w:tcPr>
            <w:tcW w:w="3794" w:type="dxa"/>
          </w:tcPr>
          <w:p w:rsidR="00EF15B6" w:rsidRPr="00E01FFF" w:rsidRDefault="00EF15B6" w:rsidP="007303D8">
            <w:pPr>
              <w:rPr>
                <w:lang w:val="es-ES_tradnl"/>
              </w:rPr>
            </w:pPr>
          </w:p>
        </w:tc>
        <w:tc>
          <w:tcPr>
            <w:tcW w:w="5245" w:type="dxa"/>
          </w:tcPr>
          <w:p w:rsidR="00763884" w:rsidRPr="00E01FFF" w:rsidRDefault="00763884" w:rsidP="00763884">
            <w:pPr>
              <w:rPr>
                <w:i/>
              </w:rPr>
            </w:pPr>
            <w:r w:rsidRPr="00E01FFF">
              <w:rPr>
                <w:b/>
              </w:rPr>
              <w:t>Nuevo:</w:t>
            </w:r>
            <w:r>
              <w:t xml:space="preserve"> Además de las evaluaciones llevadas a cabo por las autoridades de gestión de los Fondos, se </w:t>
            </w:r>
            <w:r w:rsidRPr="00C80EB0">
              <w:t xml:space="preserve">recomienda la inclusión de </w:t>
            </w:r>
            <w:r w:rsidRPr="00E01FFF">
              <w:rPr>
                <w:i/>
              </w:rPr>
              <w:t>otros estudios y evaluaciones desarrolladas por los gestores que tienen como elemento central de estudio, actuaciones incluidas en los Programas Operativos</w:t>
            </w:r>
            <w:r w:rsidRPr="00C80EB0">
              <w:t>.</w:t>
            </w:r>
            <w:r w:rsidRPr="00E01FFF">
              <w:rPr>
                <w:i/>
              </w:rPr>
              <w:t xml:space="preserve"> </w:t>
            </w:r>
          </w:p>
          <w:p w:rsidR="00763884" w:rsidRDefault="00763884" w:rsidP="00763884">
            <w:r>
              <w:t>En este sentido, se destacan los siguientes:</w:t>
            </w:r>
          </w:p>
          <w:p w:rsidR="00763884" w:rsidRPr="00E01FFF" w:rsidRDefault="00934F06" w:rsidP="00763884">
            <w:pPr>
              <w:rPr>
                <w:i/>
              </w:rPr>
            </w:pPr>
            <w:hyperlink r:id="rId12" w:history="1">
              <w:r w:rsidR="00763884" w:rsidRPr="00E01FFF">
                <w:rPr>
                  <w:rStyle w:val="Hipervnculo"/>
                  <w:i/>
                </w:rPr>
                <w:t>Evaluación de Impacto del Programa Operativo Plurirregional de Lucha contra la Discriminación</w:t>
              </w:r>
            </w:hyperlink>
          </w:p>
          <w:p w:rsidR="00EF15B6" w:rsidRPr="00E01FFF" w:rsidRDefault="00934F06" w:rsidP="007303D8">
            <w:pPr>
              <w:rPr>
                <w:i/>
              </w:rPr>
            </w:pPr>
            <w:hyperlink r:id="rId13" w:history="1">
              <w:r w:rsidR="00763884" w:rsidRPr="00E01FFF">
                <w:rPr>
                  <w:rStyle w:val="Hipervnculo"/>
                  <w:i/>
                </w:rPr>
                <w:t>Evaluación del Valor Añadido Comunitario de los Programas Operativos del FSE gestionados por la Fundación ONCE</w:t>
              </w:r>
            </w:hyperlink>
          </w:p>
        </w:tc>
        <w:tc>
          <w:tcPr>
            <w:tcW w:w="4536" w:type="dxa"/>
          </w:tcPr>
          <w:p w:rsidR="00EF15B6" w:rsidRPr="00E01FFF" w:rsidRDefault="00EF15B6" w:rsidP="007303D8">
            <w:pPr>
              <w:rPr>
                <w:lang w:val="es-ES_tradnl"/>
              </w:rPr>
            </w:pPr>
          </w:p>
        </w:tc>
      </w:tr>
    </w:tbl>
    <w:p w:rsidR="00EF15B6" w:rsidRPr="008303B4" w:rsidRDefault="008303B4" w:rsidP="00EF15B6">
      <w:pPr>
        <w:rPr>
          <w:b/>
          <w:lang w:val="es-ES_tradnl"/>
        </w:rPr>
      </w:pPr>
      <w:r w:rsidRPr="008303B4">
        <w:rPr>
          <w:b/>
          <w:lang w:val="es-ES_tradnl"/>
        </w:rPr>
        <w:t>Comentario:</w:t>
      </w:r>
    </w:p>
    <w:p w:rsidR="008303B4" w:rsidRPr="00EF15B6" w:rsidRDefault="00694BEB" w:rsidP="00EF15B6">
      <w:pPr>
        <w:rPr>
          <w:lang w:val="es-ES_tradnl"/>
        </w:rPr>
      </w:pPr>
      <w:r>
        <w:rPr>
          <w:lang w:val="es-ES_tradnl"/>
        </w:rPr>
        <w:t>Aunque e</w:t>
      </w:r>
      <w:r w:rsidR="008303B4">
        <w:rPr>
          <w:lang w:val="es-ES_tradnl"/>
        </w:rPr>
        <w:t xml:space="preserve">sta sugerencia no ha sido </w:t>
      </w:r>
      <w:r w:rsidR="004205B9">
        <w:rPr>
          <w:lang w:val="es-ES_tradnl"/>
        </w:rPr>
        <w:t>incorporada</w:t>
      </w:r>
      <w:r w:rsidR="008303B4">
        <w:rPr>
          <w:lang w:val="es-ES_tradnl"/>
        </w:rPr>
        <w:t xml:space="preserve"> en la </w:t>
      </w:r>
      <w:r w:rsidR="004205B9">
        <w:rPr>
          <w:lang w:val="es-ES_tradnl"/>
        </w:rPr>
        <w:t>redacción</w:t>
      </w:r>
      <w:r w:rsidR="008303B4">
        <w:rPr>
          <w:lang w:val="es-ES_tradnl"/>
        </w:rPr>
        <w:t xml:space="preserve"> del la última </w:t>
      </w:r>
      <w:r w:rsidR="004205B9">
        <w:rPr>
          <w:lang w:val="es-ES_tradnl"/>
        </w:rPr>
        <w:t>versión</w:t>
      </w:r>
      <w:r w:rsidR="008303B4">
        <w:rPr>
          <w:lang w:val="es-ES_tradnl"/>
        </w:rPr>
        <w:t xml:space="preserve"> del AdA. </w:t>
      </w:r>
      <w:r w:rsidR="00B242B1">
        <w:rPr>
          <w:lang w:val="es-ES_tradnl"/>
        </w:rPr>
        <w:t>Hay que tener en cuenta que</w:t>
      </w:r>
      <w:r>
        <w:rPr>
          <w:lang w:val="es-ES_tradnl"/>
        </w:rPr>
        <w:t xml:space="preserve"> el Programa Operativo de Lucha contra la Discriminación ha sido reconocido en el apartado anterior </w:t>
      </w:r>
      <w:r w:rsidR="00B242B1">
        <w:rPr>
          <w:lang w:val="es-ES_tradnl"/>
        </w:rPr>
        <w:t xml:space="preserve">como experiencia y buena práctica a nivel europeo, este punto </w:t>
      </w:r>
      <w:r w:rsidR="006315D4">
        <w:rPr>
          <w:lang w:val="es-ES_tradnl"/>
        </w:rPr>
        <w:t xml:space="preserve">de haber sido incluido </w:t>
      </w:r>
      <w:r w:rsidR="00B242B1">
        <w:rPr>
          <w:lang w:val="es-ES_tradnl"/>
        </w:rPr>
        <w:t>reforzaría el apartado anterior</w:t>
      </w:r>
      <w:r w:rsidR="006315D4">
        <w:rPr>
          <w:lang w:val="es-ES_tradnl"/>
        </w:rPr>
        <w:t>,</w:t>
      </w:r>
      <w:r w:rsidR="00B242B1">
        <w:rPr>
          <w:lang w:val="es-ES_tradnl"/>
        </w:rPr>
        <w:t xml:space="preserve"> pero en cualquier caso</w:t>
      </w:r>
      <w:r w:rsidR="006315D4">
        <w:rPr>
          <w:lang w:val="es-ES_tradnl"/>
        </w:rPr>
        <w:t>,</w:t>
      </w:r>
      <w:r w:rsidR="00B242B1">
        <w:rPr>
          <w:lang w:val="es-ES_tradnl"/>
        </w:rPr>
        <w:t xml:space="preserve"> el reconocimi</w:t>
      </w:r>
      <w:r w:rsidR="006315D4">
        <w:rPr>
          <w:lang w:val="es-ES_tradnl"/>
        </w:rPr>
        <w:t>ento del PO está</w:t>
      </w:r>
      <w:r w:rsidR="00B242B1">
        <w:rPr>
          <w:lang w:val="es-ES_tradnl"/>
        </w:rPr>
        <w:t xml:space="preserve"> presente en la </w:t>
      </w:r>
      <w:r w:rsidR="00FF4E4C">
        <w:rPr>
          <w:lang w:val="es-ES_tradnl"/>
        </w:rPr>
        <w:t>redacción</w:t>
      </w:r>
      <w:r w:rsidR="00B242B1">
        <w:rPr>
          <w:lang w:val="es-ES_tradnl"/>
        </w:rPr>
        <w:t xml:space="preserve"> de la propuesta de AdA final</w:t>
      </w:r>
      <w:r w:rsidR="006315D4">
        <w:rPr>
          <w:lang w:val="es-ES_tradnl"/>
        </w:rPr>
        <w:t xml:space="preserve"> como un punto fuerte de la gestión de los fondos en España</w:t>
      </w:r>
      <w:r w:rsidR="00B242B1">
        <w:rPr>
          <w:lang w:val="es-ES_tradnl"/>
        </w:rPr>
        <w:t xml:space="preserve">. </w:t>
      </w:r>
    </w:p>
    <w:p w:rsidR="004D2102" w:rsidRDefault="004D2102" w:rsidP="004D2102">
      <w:pPr>
        <w:pStyle w:val="Bolos"/>
        <w:numPr>
          <w:ilvl w:val="0"/>
          <w:numId w:val="0"/>
        </w:numPr>
        <w:rPr>
          <w:b/>
          <w:i/>
          <w:u w:val="single"/>
          <w:lang w:val="es-ES_tradnl"/>
        </w:rPr>
      </w:pPr>
    </w:p>
    <w:p w:rsidR="00763884" w:rsidRDefault="00763884" w:rsidP="00B678C5">
      <w:pPr>
        <w:pStyle w:val="Bolos"/>
        <w:numPr>
          <w:ilvl w:val="0"/>
          <w:numId w:val="0"/>
        </w:numPr>
        <w:rPr>
          <w:b/>
          <w:i/>
          <w:u w:val="single"/>
          <w:lang w:val="es-ES_tradnl"/>
        </w:rPr>
      </w:pPr>
    </w:p>
    <w:p w:rsidR="00377D36" w:rsidRPr="00602443" w:rsidRDefault="006630AD" w:rsidP="00602443">
      <w:pPr>
        <w:pStyle w:val="Bolos"/>
        <w:numPr>
          <w:ilvl w:val="0"/>
          <w:numId w:val="0"/>
        </w:numPr>
        <w:rPr>
          <w:sz w:val="20"/>
          <w:szCs w:val="20"/>
        </w:rPr>
      </w:pPr>
      <w:r w:rsidRPr="00F90606">
        <w:rPr>
          <w:b/>
          <w:i/>
          <w:u w:val="single"/>
        </w:rPr>
        <w:lastRenderedPageBreak/>
        <w:t xml:space="preserve">Punto 1.1.5.9 Análisis del Objetivo Temático 9: Promoción de la Inclusión Social y la Reducción de la Pobreza </w:t>
      </w:r>
      <w:r w:rsidR="0040615E">
        <w:rPr>
          <w:b/>
          <w:i/>
          <w:u w:val="single"/>
          <w:lang w:val="es-ES_tradnl"/>
        </w:rPr>
        <w:t xml:space="preserve"> </w:t>
      </w:r>
      <w:r w:rsidRPr="00C7131F">
        <w:rPr>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4961"/>
        <w:gridCol w:w="4820"/>
      </w:tblGrid>
      <w:tr w:rsidR="00763884" w:rsidRPr="00BA2F55" w:rsidTr="00E01FFF">
        <w:tc>
          <w:tcPr>
            <w:tcW w:w="3794" w:type="dxa"/>
            <w:shd w:val="clear" w:color="auto" w:fill="7C9FCF"/>
          </w:tcPr>
          <w:p w:rsidR="00763884" w:rsidRPr="00E01FFF" w:rsidRDefault="00763884" w:rsidP="00E01FFF">
            <w:pPr>
              <w:jc w:val="center"/>
              <w:rPr>
                <w:b/>
              </w:rPr>
            </w:pPr>
            <w:r w:rsidRPr="00E01FFF">
              <w:rPr>
                <w:b/>
                <w:lang w:val="es-ES_tradnl"/>
              </w:rPr>
              <w:t>Borrador AdA (21-03-14)</w:t>
            </w:r>
            <w:r w:rsidR="008B0B84" w:rsidRPr="00E01FFF">
              <w:rPr>
                <w:b/>
                <w:lang w:val="es-ES_tradnl"/>
              </w:rPr>
              <w:t xml:space="preserve"> </w:t>
            </w:r>
            <w:r w:rsidR="008B0B84" w:rsidRPr="00E01FFF">
              <w:rPr>
                <w:lang w:val="es-ES_tradnl"/>
              </w:rPr>
              <w:t>(</w:t>
            </w:r>
            <w:r w:rsidR="00BC0052" w:rsidRPr="00E01FFF">
              <w:rPr>
                <w:sz w:val="20"/>
                <w:szCs w:val="20"/>
              </w:rPr>
              <w:t>Pág. 117</w:t>
            </w:r>
            <w:r w:rsidR="008B0B84" w:rsidRPr="00E01FFF">
              <w:rPr>
                <w:sz w:val="20"/>
                <w:szCs w:val="20"/>
              </w:rPr>
              <w:t>)</w:t>
            </w:r>
          </w:p>
        </w:tc>
        <w:tc>
          <w:tcPr>
            <w:tcW w:w="4961" w:type="dxa"/>
            <w:shd w:val="clear" w:color="auto" w:fill="7C9FCF"/>
          </w:tcPr>
          <w:p w:rsidR="00763884" w:rsidRPr="00E01FFF" w:rsidRDefault="00763884" w:rsidP="00E01FFF">
            <w:pPr>
              <w:pStyle w:val="Bolos"/>
              <w:numPr>
                <w:ilvl w:val="0"/>
                <w:numId w:val="0"/>
              </w:numPr>
              <w:jc w:val="center"/>
              <w:rPr>
                <w:sz w:val="20"/>
                <w:szCs w:val="20"/>
                <w:lang w:val="es-ES"/>
              </w:rPr>
            </w:pPr>
            <w:r w:rsidRPr="00E01FFF">
              <w:rPr>
                <w:b/>
                <w:lang w:val="es-ES_tradnl"/>
              </w:rPr>
              <w:t>Aportaciones CERMI</w:t>
            </w:r>
            <w:r w:rsidR="00BE4B5C" w:rsidRPr="00E01FFF">
              <w:rPr>
                <w:b/>
                <w:lang w:val="es-ES_tradnl"/>
              </w:rPr>
              <w:t xml:space="preserve"> </w:t>
            </w:r>
            <w:r w:rsidR="009E7152" w:rsidRPr="00E01FFF">
              <w:rPr>
                <w:sz w:val="20"/>
                <w:szCs w:val="20"/>
                <w:lang w:val="es-ES"/>
              </w:rPr>
              <w:t xml:space="preserve">(Pág. 114 y </w:t>
            </w:r>
            <w:r w:rsidR="004205B9" w:rsidRPr="00E01FFF">
              <w:rPr>
                <w:sz w:val="20"/>
                <w:szCs w:val="20"/>
                <w:lang w:val="es-ES"/>
              </w:rPr>
              <w:t>ss.</w:t>
            </w:r>
            <w:r w:rsidR="009E7152" w:rsidRPr="00E01FFF">
              <w:rPr>
                <w:sz w:val="20"/>
                <w:szCs w:val="20"/>
                <w:lang w:val="es-ES"/>
              </w:rPr>
              <w:t>)</w:t>
            </w:r>
          </w:p>
        </w:tc>
        <w:tc>
          <w:tcPr>
            <w:tcW w:w="4820" w:type="dxa"/>
            <w:shd w:val="clear" w:color="auto" w:fill="7C9FCF"/>
          </w:tcPr>
          <w:p w:rsidR="00763884" w:rsidRPr="00E01FFF" w:rsidRDefault="009E7152" w:rsidP="00E01FFF">
            <w:pPr>
              <w:pStyle w:val="Bolos"/>
              <w:numPr>
                <w:ilvl w:val="0"/>
                <w:numId w:val="0"/>
              </w:numPr>
              <w:jc w:val="center"/>
              <w:rPr>
                <w:sz w:val="20"/>
                <w:szCs w:val="20"/>
                <w:lang w:val="es-ES"/>
              </w:rPr>
            </w:pPr>
            <w:r w:rsidRPr="00E01FFF">
              <w:rPr>
                <w:b/>
                <w:lang w:val="es-ES_tradnl"/>
              </w:rPr>
              <w:t>Versió</w:t>
            </w:r>
            <w:r w:rsidR="00763884" w:rsidRPr="00E01FFF">
              <w:rPr>
                <w:b/>
                <w:lang w:val="es-ES_tradnl"/>
              </w:rPr>
              <w:t>n del AdA enviado a CE (22-04-14)</w:t>
            </w:r>
            <w:r w:rsidR="00BE4B5C" w:rsidRPr="00E01FFF">
              <w:rPr>
                <w:b/>
                <w:lang w:val="es-ES_tradnl"/>
              </w:rPr>
              <w:t xml:space="preserve"> </w:t>
            </w:r>
            <w:r w:rsidR="00BE4B5C" w:rsidRPr="00E01FFF">
              <w:rPr>
                <w:sz w:val="20"/>
                <w:szCs w:val="20"/>
                <w:lang w:val="es-ES"/>
              </w:rPr>
              <w:t>Pág. 118 y 119)</w:t>
            </w:r>
          </w:p>
        </w:tc>
      </w:tr>
      <w:tr w:rsidR="00763884" w:rsidTr="00E01FFF">
        <w:trPr>
          <w:trHeight w:val="5045"/>
        </w:trPr>
        <w:tc>
          <w:tcPr>
            <w:tcW w:w="3794" w:type="dxa"/>
          </w:tcPr>
          <w:p w:rsidR="00737E13" w:rsidRPr="00E01FFF" w:rsidRDefault="00737E13" w:rsidP="00E01FFF">
            <w:pPr>
              <w:pStyle w:val="Bolos"/>
              <w:numPr>
                <w:ilvl w:val="0"/>
                <w:numId w:val="0"/>
              </w:numPr>
              <w:rPr>
                <w:sz w:val="22"/>
                <w:szCs w:val="22"/>
                <w:lang w:val="es-ES"/>
              </w:rPr>
            </w:pPr>
            <w:r w:rsidRPr="00E01FFF">
              <w:rPr>
                <w:sz w:val="22"/>
                <w:szCs w:val="22"/>
                <w:lang w:val="es-ES"/>
              </w:rPr>
              <w:t>Objetivo Temático 9, apartado reservado al DAFO:</w:t>
            </w:r>
          </w:p>
          <w:p w:rsidR="00737E13" w:rsidRPr="00E01FFF" w:rsidRDefault="00737E13" w:rsidP="00E01FFF">
            <w:pPr>
              <w:autoSpaceDE w:val="0"/>
              <w:autoSpaceDN w:val="0"/>
              <w:adjustRightInd w:val="0"/>
              <w:spacing w:before="0" w:after="0"/>
              <w:jc w:val="left"/>
              <w:rPr>
                <w:rFonts w:eastAsia="TTFE62B2C0t00" w:cs="TTFE62B2C0t00"/>
                <w:sz w:val="22"/>
                <w:szCs w:val="22"/>
              </w:rPr>
            </w:pPr>
          </w:p>
          <w:p w:rsidR="00763884" w:rsidRPr="00E01FFF" w:rsidRDefault="00BC0052" w:rsidP="00E01FFF">
            <w:pPr>
              <w:autoSpaceDE w:val="0"/>
              <w:autoSpaceDN w:val="0"/>
              <w:adjustRightInd w:val="0"/>
              <w:spacing w:before="0" w:after="0"/>
              <w:jc w:val="left"/>
              <w:rPr>
                <w:rFonts w:eastAsia="TTFE62B2C0t00" w:cs="TTFE62B2C0t00"/>
                <w:sz w:val="22"/>
                <w:szCs w:val="22"/>
              </w:rPr>
            </w:pPr>
            <w:r w:rsidRPr="00E01FFF">
              <w:rPr>
                <w:rFonts w:eastAsia="TTFE62B2C0t00" w:cs="TTFE62B2C0t00"/>
                <w:sz w:val="22"/>
                <w:szCs w:val="22"/>
              </w:rPr>
              <w:t xml:space="preserve">O6. </w:t>
            </w:r>
            <w:r w:rsidR="004205B9" w:rsidRPr="00E01FFF">
              <w:rPr>
                <w:rFonts w:eastAsia="TTFE62B2C0t00" w:cs="TTFE62B2C0t00"/>
                <w:sz w:val="22"/>
                <w:szCs w:val="22"/>
              </w:rPr>
              <w:t>Regeneración</w:t>
            </w:r>
            <w:r w:rsidRPr="00E01FFF">
              <w:rPr>
                <w:rFonts w:eastAsia="TTFE62B2C0t00" w:cs="TTFE62B2C0t00"/>
                <w:sz w:val="22"/>
                <w:szCs w:val="22"/>
              </w:rPr>
              <w:t xml:space="preserve"> de entornos urbanos y rurales </w:t>
            </w:r>
            <w:r w:rsidR="004205B9" w:rsidRPr="00E01FFF">
              <w:rPr>
                <w:rFonts w:eastAsia="TTFE62B2C0t00" w:cs="TTFE62B2C0t00"/>
                <w:sz w:val="22"/>
                <w:szCs w:val="22"/>
              </w:rPr>
              <w:t>física</w:t>
            </w:r>
            <w:r w:rsidRPr="00E01FFF">
              <w:rPr>
                <w:rFonts w:eastAsia="TTFE62B2C0t00" w:cs="TTFE62B2C0t00"/>
                <w:sz w:val="22"/>
                <w:szCs w:val="22"/>
              </w:rPr>
              <w:t xml:space="preserve"> y</w:t>
            </w:r>
            <w:r w:rsidR="00737E13" w:rsidRPr="00E01FFF">
              <w:rPr>
                <w:rFonts w:eastAsia="TTFE62B2C0t00" w:cs="TTFE62B2C0t00"/>
                <w:sz w:val="22"/>
                <w:szCs w:val="22"/>
              </w:rPr>
              <w:t xml:space="preserve"> </w:t>
            </w:r>
            <w:r w:rsidRPr="00E01FFF">
              <w:rPr>
                <w:rFonts w:eastAsia="TTFE62B2C0t00" w:cs="TTFE62B2C0t00"/>
                <w:sz w:val="22"/>
                <w:szCs w:val="22"/>
              </w:rPr>
              <w:t>socialmente degradados</w:t>
            </w:r>
          </w:p>
        </w:tc>
        <w:tc>
          <w:tcPr>
            <w:tcW w:w="4961" w:type="dxa"/>
          </w:tcPr>
          <w:p w:rsidR="00B16883" w:rsidRPr="00E01FFF" w:rsidRDefault="00145F8A" w:rsidP="00E01FFF">
            <w:pPr>
              <w:pStyle w:val="Bolos"/>
              <w:numPr>
                <w:ilvl w:val="0"/>
                <w:numId w:val="0"/>
              </w:numPr>
              <w:rPr>
                <w:sz w:val="22"/>
                <w:szCs w:val="22"/>
                <w:lang w:val="es-ES"/>
              </w:rPr>
            </w:pPr>
            <w:r w:rsidRPr="00E01FFF">
              <w:rPr>
                <w:sz w:val="22"/>
                <w:szCs w:val="22"/>
                <w:lang w:val="es-ES"/>
              </w:rPr>
              <w:t xml:space="preserve">Objetivo Temático 9, </w:t>
            </w:r>
            <w:r w:rsidR="00B16883" w:rsidRPr="00E01FFF">
              <w:rPr>
                <w:sz w:val="22"/>
                <w:szCs w:val="22"/>
                <w:lang w:val="es-ES"/>
              </w:rPr>
              <w:t>apartado reservado al DAFO</w:t>
            </w:r>
            <w:r w:rsidRPr="00E01FFF">
              <w:rPr>
                <w:sz w:val="22"/>
                <w:szCs w:val="22"/>
                <w:lang w:val="es-ES"/>
              </w:rPr>
              <w:t>:</w:t>
            </w:r>
          </w:p>
          <w:p w:rsidR="00B16883" w:rsidRPr="00E01FFF" w:rsidRDefault="00B16883" w:rsidP="00B16883">
            <w:pPr>
              <w:rPr>
                <w:b/>
                <w:i/>
                <w:sz w:val="22"/>
                <w:szCs w:val="22"/>
              </w:rPr>
            </w:pPr>
            <w:r w:rsidRPr="00E01FFF">
              <w:rPr>
                <w:b/>
                <w:sz w:val="22"/>
                <w:szCs w:val="22"/>
              </w:rPr>
              <w:t xml:space="preserve">Nuevo: </w:t>
            </w:r>
            <w:r w:rsidRPr="00E01FFF">
              <w:rPr>
                <w:sz w:val="22"/>
                <w:szCs w:val="22"/>
                <w:u w:val="single"/>
              </w:rPr>
              <w:t>Fortaleza</w:t>
            </w:r>
            <w:r w:rsidRPr="00E01FFF">
              <w:rPr>
                <w:sz w:val="22"/>
                <w:szCs w:val="22"/>
              </w:rPr>
              <w:t>: “</w:t>
            </w:r>
            <w:r w:rsidRPr="00E01FFF">
              <w:rPr>
                <w:i/>
                <w:sz w:val="22"/>
                <w:szCs w:val="22"/>
              </w:rPr>
              <w:t>Existencia de Entidades del Sector Social con capacidad contrastada para la gestión de Fondos Europeos y con capacidad para acceder y trabajar de forma específica con grupos vulnerables como personas con discapacidad, población inmigrante, gitana, etc.”</w:t>
            </w:r>
          </w:p>
          <w:p w:rsidR="00B16883" w:rsidRPr="00E01FFF" w:rsidRDefault="00B16883" w:rsidP="00B16883">
            <w:pPr>
              <w:rPr>
                <w:i/>
                <w:sz w:val="22"/>
                <w:szCs w:val="22"/>
              </w:rPr>
            </w:pPr>
            <w:r w:rsidRPr="00E01FFF">
              <w:rPr>
                <w:b/>
                <w:sz w:val="22"/>
                <w:szCs w:val="22"/>
              </w:rPr>
              <w:t xml:space="preserve">Nuevo: </w:t>
            </w:r>
            <w:r w:rsidRPr="00E01FFF">
              <w:rPr>
                <w:color w:val="00B050"/>
                <w:sz w:val="22"/>
                <w:szCs w:val="22"/>
                <w:u w:val="single"/>
              </w:rPr>
              <w:t>Oportunidad</w:t>
            </w:r>
            <w:r w:rsidRPr="00E01FFF">
              <w:rPr>
                <w:color w:val="00B050"/>
                <w:sz w:val="22"/>
                <w:szCs w:val="22"/>
              </w:rPr>
              <w:t>: “</w:t>
            </w:r>
            <w:r w:rsidRPr="00E01FFF">
              <w:rPr>
                <w:i/>
                <w:color w:val="00B050"/>
                <w:sz w:val="22"/>
                <w:szCs w:val="22"/>
              </w:rPr>
              <w:t>La mejora del acceso a servicios sanitarios, educativos, de empleo y formación, etc., a las personas en situación de exclusión o riesgo de exclusión a través de inversiones sociales, poniendo especial énfasis en la accesibilidad universal de productos y servicios.”</w:t>
            </w:r>
          </w:p>
          <w:p w:rsidR="00763884" w:rsidRPr="00E01FFF" w:rsidRDefault="00B16883" w:rsidP="007303D8">
            <w:pPr>
              <w:rPr>
                <w:i/>
                <w:sz w:val="22"/>
                <w:szCs w:val="22"/>
              </w:rPr>
            </w:pPr>
            <w:r w:rsidRPr="00E01FFF">
              <w:rPr>
                <w:b/>
                <w:sz w:val="22"/>
                <w:szCs w:val="22"/>
              </w:rPr>
              <w:t>Añadir</w:t>
            </w:r>
            <w:r w:rsidRPr="00E01FFF">
              <w:rPr>
                <w:sz w:val="22"/>
                <w:szCs w:val="22"/>
              </w:rPr>
              <w:t xml:space="preserve"> </w:t>
            </w:r>
            <w:r w:rsidRPr="00E01FFF">
              <w:rPr>
                <w:b/>
                <w:sz w:val="22"/>
                <w:szCs w:val="22"/>
              </w:rPr>
              <w:t>en la Oportunidad número 6 (O6)</w:t>
            </w:r>
            <w:r w:rsidRPr="00E01FFF">
              <w:rPr>
                <w:sz w:val="22"/>
                <w:szCs w:val="22"/>
              </w:rPr>
              <w:t xml:space="preserve"> el criterio de accesibilidad universal en su redacción.</w:t>
            </w:r>
            <w:r w:rsidRPr="00E01FFF">
              <w:rPr>
                <w:i/>
                <w:sz w:val="22"/>
                <w:szCs w:val="22"/>
              </w:rPr>
              <w:t xml:space="preserve">  </w:t>
            </w:r>
            <w:r w:rsidRPr="00E01FFF">
              <w:rPr>
                <w:i/>
                <w:color w:val="00B050"/>
                <w:sz w:val="22"/>
                <w:szCs w:val="22"/>
              </w:rPr>
              <w:t xml:space="preserve">“Regeneración </w:t>
            </w:r>
            <w:r w:rsidRPr="00E01FFF">
              <w:rPr>
                <w:b/>
                <w:i/>
                <w:color w:val="00B050"/>
                <w:sz w:val="22"/>
                <w:szCs w:val="22"/>
              </w:rPr>
              <w:t>con criterios de accesibilidad</w:t>
            </w:r>
            <w:r w:rsidRPr="00E01FFF">
              <w:rPr>
                <w:i/>
                <w:color w:val="00B050"/>
                <w:sz w:val="22"/>
                <w:szCs w:val="22"/>
              </w:rPr>
              <w:t xml:space="preserve"> </w:t>
            </w:r>
            <w:r w:rsidRPr="00E01FFF">
              <w:rPr>
                <w:i/>
                <w:sz w:val="22"/>
                <w:szCs w:val="22"/>
              </w:rPr>
              <w:t>de entornos urbanos y rurales física y socialmente degradados”</w:t>
            </w:r>
          </w:p>
        </w:tc>
        <w:tc>
          <w:tcPr>
            <w:tcW w:w="4820" w:type="dxa"/>
          </w:tcPr>
          <w:p w:rsidR="00763884" w:rsidRPr="00E01FFF" w:rsidRDefault="00145F8A" w:rsidP="00CA3EBA">
            <w:pPr>
              <w:rPr>
                <w:lang w:val="es-ES_tradnl"/>
              </w:rPr>
            </w:pPr>
            <w:r w:rsidRPr="00E01FFF">
              <w:rPr>
                <w:lang w:val="es-ES_tradnl"/>
              </w:rPr>
              <w:t>Objetivo Temático 9 apartado reservado al DAFO:</w:t>
            </w:r>
          </w:p>
          <w:p w:rsidR="00145F8A" w:rsidRPr="00E01FFF" w:rsidRDefault="00145F8A" w:rsidP="00CA3EBA">
            <w:pPr>
              <w:rPr>
                <w:rFonts w:eastAsia="Calibri" w:cs="TTFE62D370t00"/>
                <w:b/>
              </w:rPr>
            </w:pPr>
            <w:r w:rsidRPr="00E01FFF">
              <w:rPr>
                <w:b/>
                <w:lang w:val="es-ES_tradnl"/>
              </w:rPr>
              <w:t xml:space="preserve">O10. </w:t>
            </w:r>
            <w:r w:rsidR="00CA3EBA" w:rsidRPr="00E01FFF">
              <w:rPr>
                <w:b/>
                <w:lang w:val="es-ES_tradnl"/>
              </w:rPr>
              <w:t xml:space="preserve">Oportunidad: </w:t>
            </w:r>
            <w:r w:rsidRPr="00E01FFF">
              <w:rPr>
                <w:b/>
                <w:lang w:val="es-ES_tradnl"/>
              </w:rPr>
              <w:t xml:space="preserve">La mejora del acceso a servicios de las personas en situación o riesgo de exclusión a través de inversiones sociales, poniendo especial énfasis en la accesibilidad </w:t>
            </w:r>
            <w:r w:rsidRPr="00E01FFF">
              <w:rPr>
                <w:rFonts w:eastAsia="Calibri" w:cs="TTFE62D370t00"/>
                <w:b/>
              </w:rPr>
              <w:t>universal de bienes, productos y servicios.</w:t>
            </w:r>
          </w:p>
          <w:p w:rsidR="00CA3EBA" w:rsidRPr="00E01FFF" w:rsidRDefault="00CA3EBA" w:rsidP="00E01FFF">
            <w:pPr>
              <w:autoSpaceDE w:val="0"/>
              <w:autoSpaceDN w:val="0"/>
              <w:adjustRightInd w:val="0"/>
              <w:spacing w:before="0" w:after="0"/>
              <w:rPr>
                <w:rFonts w:eastAsia="Calibri" w:cs="TTFE62D370t00"/>
                <w:b/>
              </w:rPr>
            </w:pPr>
            <w:r w:rsidRPr="00E01FFF">
              <w:rPr>
                <w:rFonts w:eastAsia="Calibri" w:cs="TTFE62D370t00"/>
              </w:rPr>
              <w:t xml:space="preserve">O6. Regeneración, </w:t>
            </w:r>
            <w:r w:rsidRPr="00E01FFF">
              <w:rPr>
                <w:rFonts w:eastAsia="Calibri" w:cs="TTFE62D370t00"/>
                <w:b/>
              </w:rPr>
              <w:t>teniendo en cuenta criterios de</w:t>
            </w:r>
            <w:r w:rsidR="00733E3B" w:rsidRPr="00E01FFF">
              <w:rPr>
                <w:rFonts w:eastAsia="Calibri" w:cs="TTFE62D370t00"/>
                <w:b/>
              </w:rPr>
              <w:t xml:space="preserve"> </w:t>
            </w:r>
            <w:r w:rsidR="004205B9" w:rsidRPr="00E01FFF">
              <w:rPr>
                <w:rFonts w:eastAsia="Calibri" w:cs="TTFE62D370t00"/>
                <w:b/>
              </w:rPr>
              <w:t>Accesibilidad</w:t>
            </w:r>
            <w:r w:rsidRPr="00E01FFF">
              <w:rPr>
                <w:rFonts w:eastAsia="Calibri" w:cs="TTFE62D370t00"/>
              </w:rPr>
              <w:t>, de entornos urbanos y rurales física y socialmente degradados.</w:t>
            </w:r>
          </w:p>
          <w:p w:rsidR="00CA3EBA" w:rsidRPr="00E01FFF" w:rsidRDefault="00CA3EBA" w:rsidP="00CA3EBA">
            <w:pPr>
              <w:rPr>
                <w:rFonts w:eastAsia="Calibri" w:cs="TTFE62D370t00"/>
              </w:rPr>
            </w:pPr>
          </w:p>
          <w:p w:rsidR="00CA3EBA" w:rsidRPr="00E01FFF" w:rsidRDefault="00CA3EBA" w:rsidP="00145F8A">
            <w:pPr>
              <w:rPr>
                <w:lang w:val="es-ES_tradnl"/>
              </w:rPr>
            </w:pPr>
          </w:p>
        </w:tc>
      </w:tr>
    </w:tbl>
    <w:p w:rsidR="00136207" w:rsidRDefault="00CA3EBA" w:rsidP="00C7131F">
      <w:pPr>
        <w:rPr>
          <w:b/>
        </w:rPr>
      </w:pPr>
      <w:r w:rsidRPr="00CA3EBA">
        <w:rPr>
          <w:b/>
        </w:rPr>
        <w:t>Comentario:</w:t>
      </w:r>
    </w:p>
    <w:p w:rsidR="00CA3EBA" w:rsidRPr="000F5E86" w:rsidRDefault="004205B9" w:rsidP="00C7131F">
      <w:pPr>
        <w:rPr>
          <w:b/>
        </w:rPr>
      </w:pPr>
      <w:r>
        <w:t>La f</w:t>
      </w:r>
      <w:r w:rsidR="00F65B56">
        <w:t xml:space="preserve">ortaleza propuesta </w:t>
      </w:r>
      <w:r>
        <w:t xml:space="preserve">no ha sido tenida en cuenta, </w:t>
      </w:r>
      <w:r w:rsidR="003B766A">
        <w:t xml:space="preserve">aunque no se considera importante, por el apartado en el que se incluía (que no se refiere al FSE). En cambio </w:t>
      </w:r>
      <w:r>
        <w:t>la oportunidad sugerida y la accesibilidad en el apartado 06 han queda</w:t>
      </w:r>
      <w:r w:rsidR="00694BEB">
        <w:t xml:space="preserve">do recogidas en propuesta </w:t>
      </w:r>
      <w:r>
        <w:t>enviada</w:t>
      </w:r>
      <w:r w:rsidR="004A6675">
        <w:t xml:space="preserve"> a la Comisión quedando mejorado el texto con respecto a</w:t>
      </w:r>
      <w:r w:rsidR="00F65B56">
        <w:t xml:space="preserve"> su </w:t>
      </w:r>
      <w:r w:rsidR="00BD1DC9">
        <w:t>redacción</w:t>
      </w:r>
      <w:r w:rsidR="00F65B56">
        <w:t xml:space="preserve"> inicial y más en línea</w:t>
      </w:r>
      <w:r w:rsidR="00694BEB">
        <w:t xml:space="preserve"> los intereses del movimiento de la </w:t>
      </w:r>
      <w:r w:rsidR="00FF4E4C">
        <w:t>discapacidad</w:t>
      </w:r>
      <w:r>
        <w:t xml:space="preserve">. </w:t>
      </w:r>
    </w:p>
    <w:p w:rsidR="00136207" w:rsidRDefault="00136207" w:rsidP="00C7131F"/>
    <w:p w:rsidR="00C7131F" w:rsidRDefault="004E26C0" w:rsidP="00C7131F">
      <w:r>
        <w:lastRenderedPageBreak/>
        <w:t>E</w:t>
      </w:r>
      <w:r w:rsidR="006630AD" w:rsidRPr="00B36B4A">
        <w:t xml:space="preserve">pígrafe </w:t>
      </w:r>
      <w:r w:rsidR="006630AD" w:rsidRPr="00B36B4A">
        <w:rPr>
          <w:b/>
        </w:rPr>
        <w:t>“Propuestas de Intervención”, en el apartado “</w:t>
      </w:r>
      <w:r w:rsidR="006630AD" w:rsidRPr="00B36B4A">
        <w:rPr>
          <w:b/>
          <w:i/>
        </w:rPr>
        <w:t xml:space="preserve">4. Actuación en partenariado </w:t>
      </w:r>
      <w:r w:rsidR="006630AD">
        <w:rPr>
          <w:b/>
          <w:i/>
        </w:rPr>
        <w:t>con entidades del Tercer Sector</w:t>
      </w:r>
      <w:r w:rsidR="006630AD" w:rsidRPr="00B36B4A">
        <w:rPr>
          <w:b/>
          <w:i/>
        </w:rPr>
        <w:t>”</w:t>
      </w:r>
      <w:r w:rsidR="006630AD">
        <w:rPr>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5103"/>
        <w:gridCol w:w="4253"/>
      </w:tblGrid>
      <w:tr w:rsidR="00B16883" w:rsidRPr="00BA2F55" w:rsidTr="00E01FFF">
        <w:tc>
          <w:tcPr>
            <w:tcW w:w="4219" w:type="dxa"/>
            <w:shd w:val="clear" w:color="auto" w:fill="7C9FCF"/>
          </w:tcPr>
          <w:p w:rsidR="00B16883" w:rsidRPr="00E01FFF" w:rsidRDefault="00B16883" w:rsidP="00E01FFF">
            <w:pPr>
              <w:jc w:val="center"/>
              <w:rPr>
                <w:b/>
              </w:rPr>
            </w:pPr>
            <w:r w:rsidRPr="00E01FFF">
              <w:rPr>
                <w:b/>
                <w:lang w:val="es-ES_tradnl"/>
              </w:rPr>
              <w:t xml:space="preserve">Borrador AdA (21-03-14) </w:t>
            </w:r>
            <w:r w:rsidRPr="00E01FFF">
              <w:rPr>
                <w:lang w:val="es-ES_tradnl"/>
              </w:rPr>
              <w:t>(</w:t>
            </w:r>
            <w:r w:rsidRPr="00E01FFF">
              <w:rPr>
                <w:sz w:val="20"/>
                <w:szCs w:val="20"/>
              </w:rPr>
              <w:t>Pág. 119)</w:t>
            </w:r>
          </w:p>
        </w:tc>
        <w:tc>
          <w:tcPr>
            <w:tcW w:w="5103" w:type="dxa"/>
            <w:shd w:val="clear" w:color="auto" w:fill="7C9FCF"/>
          </w:tcPr>
          <w:p w:rsidR="00B16883" w:rsidRPr="00E01FFF" w:rsidRDefault="00B16883" w:rsidP="00E01FFF">
            <w:pPr>
              <w:pStyle w:val="Bolos"/>
              <w:numPr>
                <w:ilvl w:val="0"/>
                <w:numId w:val="0"/>
              </w:numPr>
              <w:jc w:val="center"/>
              <w:rPr>
                <w:sz w:val="20"/>
                <w:szCs w:val="20"/>
                <w:lang w:val="es-ES"/>
              </w:rPr>
            </w:pPr>
            <w:r w:rsidRPr="00E01FFF">
              <w:rPr>
                <w:b/>
                <w:lang w:val="es-ES_tradnl"/>
              </w:rPr>
              <w:t>Aportaciones CERMI</w:t>
            </w:r>
            <w:r w:rsidR="002E46A2" w:rsidRPr="00E01FFF">
              <w:rPr>
                <w:b/>
                <w:lang w:val="es-ES_tradnl"/>
              </w:rPr>
              <w:t xml:space="preserve"> </w:t>
            </w:r>
            <w:r w:rsidRPr="00E01FFF">
              <w:rPr>
                <w:sz w:val="20"/>
                <w:szCs w:val="20"/>
                <w:lang w:val="es-ES"/>
              </w:rPr>
              <w:t>(Pág. 119)</w:t>
            </w:r>
          </w:p>
        </w:tc>
        <w:tc>
          <w:tcPr>
            <w:tcW w:w="4253" w:type="dxa"/>
            <w:shd w:val="clear" w:color="auto" w:fill="7C9FCF"/>
          </w:tcPr>
          <w:p w:rsidR="00B16883" w:rsidRPr="00E01FFF" w:rsidRDefault="00B16883" w:rsidP="00E01FFF">
            <w:pPr>
              <w:jc w:val="center"/>
              <w:rPr>
                <w:b/>
                <w:lang w:val="es-ES_tradnl"/>
              </w:rPr>
            </w:pPr>
            <w:r w:rsidRPr="00E01FFF">
              <w:rPr>
                <w:b/>
                <w:lang w:val="es-ES_tradnl"/>
              </w:rPr>
              <w:t>Versión del AdA enviado a CE (22-04-14)</w:t>
            </w:r>
            <w:r w:rsidR="002E46A2" w:rsidRPr="00E01FFF">
              <w:rPr>
                <w:sz w:val="20"/>
                <w:szCs w:val="20"/>
              </w:rPr>
              <w:t xml:space="preserve"> (Pág. 120)</w:t>
            </w:r>
          </w:p>
        </w:tc>
      </w:tr>
      <w:tr w:rsidR="00B16883" w:rsidTr="00E01FFF">
        <w:tc>
          <w:tcPr>
            <w:tcW w:w="4219" w:type="dxa"/>
          </w:tcPr>
          <w:p w:rsidR="00136207" w:rsidRPr="00E01FFF" w:rsidRDefault="00136207" w:rsidP="00E01FFF">
            <w:pPr>
              <w:autoSpaceDE w:val="0"/>
              <w:autoSpaceDN w:val="0"/>
              <w:adjustRightInd w:val="0"/>
              <w:spacing w:before="0" w:after="0"/>
              <w:rPr>
                <w:rFonts w:eastAsia="TTFE62B2C0t00" w:cs="TTFE62B2C0t00"/>
                <w:color w:val="000000"/>
                <w:sz w:val="22"/>
                <w:szCs w:val="22"/>
              </w:rPr>
            </w:pPr>
          </w:p>
          <w:p w:rsidR="00136207" w:rsidRPr="00E01FFF" w:rsidRDefault="00136207" w:rsidP="00E01FFF">
            <w:pPr>
              <w:autoSpaceDE w:val="0"/>
              <w:autoSpaceDN w:val="0"/>
              <w:adjustRightInd w:val="0"/>
              <w:spacing w:before="0" w:after="0"/>
              <w:rPr>
                <w:rFonts w:eastAsia="TTFE62B2C0t00" w:cs="TTFE62B2C0t00"/>
                <w:color w:val="000000"/>
                <w:sz w:val="22"/>
                <w:szCs w:val="22"/>
              </w:rPr>
            </w:pPr>
            <w:r w:rsidRPr="00E01FFF">
              <w:rPr>
                <w:rFonts w:eastAsia="TTFE62B2C0t00" w:cs="TTFE62B2C0t00"/>
                <w:color w:val="000000"/>
                <w:sz w:val="22"/>
                <w:szCs w:val="22"/>
              </w:rPr>
              <w:t xml:space="preserve">Partiendo de las experiencias previas exitosas, se </w:t>
            </w:r>
            <w:r w:rsidR="004205B9" w:rsidRPr="00E01FFF">
              <w:rPr>
                <w:rFonts w:eastAsia="TTFE62B2C0t00" w:cs="TTFE62B2C0t00"/>
                <w:color w:val="000000"/>
                <w:sz w:val="22"/>
                <w:szCs w:val="22"/>
              </w:rPr>
              <w:t>seguirá</w:t>
            </w:r>
            <w:r w:rsidRPr="00E01FFF">
              <w:rPr>
                <w:rFonts w:eastAsia="TTFE62B2C0t00" w:cs="TTFE62B2C0t00"/>
                <w:color w:val="000000"/>
                <w:sz w:val="22"/>
                <w:szCs w:val="22"/>
              </w:rPr>
              <w:t xml:space="preserve"> reforzando la </w:t>
            </w:r>
            <w:r w:rsidR="004205B9" w:rsidRPr="00E01FFF">
              <w:rPr>
                <w:rFonts w:eastAsia="TTFE62B2C0t00" w:cs="TTFE62B2C0t00"/>
                <w:color w:val="000000"/>
                <w:sz w:val="22"/>
                <w:szCs w:val="22"/>
              </w:rPr>
              <w:t>colaboración</w:t>
            </w:r>
            <w:r w:rsidRPr="00E01FFF">
              <w:rPr>
                <w:rFonts w:eastAsia="TTFE62B2C0t00" w:cs="TTFE62B2C0t00"/>
                <w:color w:val="000000"/>
                <w:sz w:val="22"/>
                <w:szCs w:val="22"/>
              </w:rPr>
              <w:t xml:space="preserve"> con las entidades sociales tanto en el plano nacional como en el </w:t>
            </w:r>
            <w:r w:rsidR="004205B9" w:rsidRPr="00E01FFF">
              <w:rPr>
                <w:rFonts w:eastAsia="TTFE62B2C0t00" w:cs="TTFE62B2C0t00"/>
                <w:color w:val="000000"/>
                <w:sz w:val="22"/>
                <w:szCs w:val="22"/>
              </w:rPr>
              <w:t>autonómico</w:t>
            </w:r>
            <w:r w:rsidRPr="00E01FFF">
              <w:rPr>
                <w:rFonts w:eastAsia="TTFE62B2C0t00" w:cs="TTFE62B2C0t00"/>
                <w:color w:val="000000"/>
                <w:sz w:val="22"/>
                <w:szCs w:val="22"/>
              </w:rPr>
              <w:t xml:space="preserve"> en el desarrollo y la </w:t>
            </w:r>
            <w:r w:rsidR="004205B9" w:rsidRPr="00E01FFF">
              <w:rPr>
                <w:rFonts w:eastAsia="TTFE62B2C0t00" w:cs="TTFE62B2C0t00"/>
                <w:color w:val="000000"/>
                <w:sz w:val="22"/>
                <w:szCs w:val="22"/>
              </w:rPr>
              <w:t>implementación</w:t>
            </w:r>
            <w:r w:rsidRPr="00E01FFF">
              <w:rPr>
                <w:rFonts w:eastAsia="TTFE62B2C0t00" w:cs="TTFE62B2C0t00"/>
                <w:color w:val="000000"/>
                <w:sz w:val="22"/>
                <w:szCs w:val="22"/>
              </w:rPr>
              <w:t xml:space="preserve"> de las medidas.</w:t>
            </w:r>
          </w:p>
          <w:p w:rsidR="00136207" w:rsidRPr="00E01FFF" w:rsidRDefault="00136207" w:rsidP="00E01FFF">
            <w:pPr>
              <w:autoSpaceDE w:val="0"/>
              <w:autoSpaceDN w:val="0"/>
              <w:adjustRightInd w:val="0"/>
              <w:spacing w:before="0" w:after="0"/>
              <w:rPr>
                <w:rFonts w:eastAsia="TTFE62B2C0t00" w:cs="Symbol"/>
                <w:color w:val="953634"/>
                <w:sz w:val="22"/>
                <w:szCs w:val="22"/>
              </w:rPr>
            </w:pPr>
          </w:p>
          <w:p w:rsidR="00B16883" w:rsidRPr="00E01FFF" w:rsidRDefault="00136207" w:rsidP="00E01FFF">
            <w:pPr>
              <w:autoSpaceDE w:val="0"/>
              <w:autoSpaceDN w:val="0"/>
              <w:adjustRightInd w:val="0"/>
              <w:spacing w:before="0" w:after="0"/>
              <w:rPr>
                <w:rFonts w:eastAsia="TTFE62B2C0t00" w:cs="TTFE62B2C0t00"/>
                <w:color w:val="000000"/>
                <w:sz w:val="22"/>
                <w:szCs w:val="22"/>
              </w:rPr>
            </w:pPr>
            <w:r w:rsidRPr="00E01FFF">
              <w:rPr>
                <w:rFonts w:eastAsia="TTFE62B2C0t00" w:cs="TTFE62B2C0t00"/>
                <w:color w:val="000000"/>
                <w:sz w:val="22"/>
                <w:szCs w:val="22"/>
              </w:rPr>
              <w:t xml:space="preserve">De acuerdo con el </w:t>
            </w:r>
            <w:r w:rsidR="004205B9" w:rsidRPr="00E01FFF">
              <w:rPr>
                <w:rFonts w:eastAsia="TTFE62B2C0t00" w:cs="TTFE62B2C0t00"/>
                <w:color w:val="000000"/>
                <w:sz w:val="22"/>
                <w:szCs w:val="22"/>
              </w:rPr>
              <w:t>Código</w:t>
            </w:r>
            <w:r w:rsidRPr="00E01FFF">
              <w:rPr>
                <w:rFonts w:eastAsia="TTFE62B2C0t00" w:cs="TTFE62B2C0t00"/>
                <w:color w:val="000000"/>
                <w:sz w:val="22"/>
                <w:szCs w:val="22"/>
              </w:rPr>
              <w:t xml:space="preserve"> de Conducta, se reforzaran los sistemas de consulta e </w:t>
            </w:r>
            <w:r w:rsidR="004205B9" w:rsidRPr="00E01FFF">
              <w:rPr>
                <w:rFonts w:eastAsia="TTFE62B2C0t00" w:cs="TTFE62B2C0t00"/>
                <w:color w:val="000000"/>
                <w:sz w:val="22"/>
                <w:szCs w:val="22"/>
              </w:rPr>
              <w:t>interlocución</w:t>
            </w:r>
            <w:r w:rsidRPr="00E01FFF">
              <w:rPr>
                <w:rFonts w:eastAsia="TTFE62B2C0t00" w:cs="TTFE62B2C0t00"/>
                <w:color w:val="000000"/>
                <w:sz w:val="22"/>
                <w:szCs w:val="22"/>
              </w:rPr>
              <w:t xml:space="preserve"> con las entidades sociales.</w:t>
            </w:r>
          </w:p>
        </w:tc>
        <w:tc>
          <w:tcPr>
            <w:tcW w:w="5103" w:type="dxa"/>
          </w:tcPr>
          <w:p w:rsidR="00755312" w:rsidRPr="00E01FFF" w:rsidRDefault="004F1FA5" w:rsidP="004F1FA5">
            <w:pPr>
              <w:rPr>
                <w:sz w:val="22"/>
                <w:szCs w:val="22"/>
              </w:rPr>
            </w:pPr>
            <w:r w:rsidRPr="00E01FFF">
              <w:rPr>
                <w:b/>
                <w:sz w:val="22"/>
                <w:szCs w:val="22"/>
              </w:rPr>
              <w:t>Modificar el primer punto</w:t>
            </w:r>
            <w:r w:rsidRPr="00E01FFF">
              <w:rPr>
                <w:sz w:val="22"/>
                <w:szCs w:val="22"/>
              </w:rPr>
              <w:t xml:space="preserve"> con la siguiente redacción</w:t>
            </w:r>
            <w:r w:rsidR="00F33DBF" w:rsidRPr="00E01FFF">
              <w:rPr>
                <w:sz w:val="22"/>
                <w:szCs w:val="22"/>
              </w:rPr>
              <w:t>:</w:t>
            </w:r>
            <w:r w:rsidRPr="00E01FFF">
              <w:rPr>
                <w:sz w:val="22"/>
                <w:szCs w:val="22"/>
              </w:rPr>
              <w:t xml:space="preserve"> </w:t>
            </w:r>
          </w:p>
          <w:p w:rsidR="004F1FA5" w:rsidRPr="00E01FFF" w:rsidRDefault="004F1FA5" w:rsidP="004F1FA5">
            <w:pPr>
              <w:rPr>
                <w:i/>
                <w:sz w:val="22"/>
                <w:szCs w:val="22"/>
              </w:rPr>
            </w:pPr>
            <w:r w:rsidRPr="00E01FFF">
              <w:rPr>
                <w:i/>
                <w:sz w:val="22"/>
                <w:szCs w:val="22"/>
              </w:rPr>
              <w:t xml:space="preserve">“Dando continuidad a las </w:t>
            </w:r>
            <w:r w:rsidRPr="00E01FFF">
              <w:rPr>
                <w:i/>
                <w:color w:val="00B050"/>
                <w:sz w:val="22"/>
                <w:szCs w:val="22"/>
              </w:rPr>
              <w:t>experiencias previas de éxito como el PO de Lucha contra la Discriminación, se seguirá reforzando la colaboración con las entidades sociales tanto en el plano nacional como en el autonómico en el desarrollo y la implementación de las medidas dirigidas a mejorar la inclusión de los grupos desfavorecidos:</w:t>
            </w:r>
            <w:r w:rsidRPr="00E01FFF">
              <w:rPr>
                <w:i/>
                <w:sz w:val="22"/>
                <w:szCs w:val="22"/>
              </w:rPr>
              <w:t xml:space="preserve"> personas con discapacidad, población de origen inmigrante, población gitana, víctimas de violencia de género, etc.”</w:t>
            </w:r>
          </w:p>
          <w:p w:rsidR="00144171" w:rsidRPr="00E01FFF" w:rsidRDefault="004F1FA5" w:rsidP="00144171">
            <w:pPr>
              <w:rPr>
                <w:sz w:val="22"/>
                <w:szCs w:val="22"/>
              </w:rPr>
            </w:pPr>
            <w:r w:rsidRPr="00E01FFF">
              <w:rPr>
                <w:b/>
                <w:sz w:val="22"/>
                <w:szCs w:val="22"/>
              </w:rPr>
              <w:t>Ampliar</w:t>
            </w:r>
            <w:r w:rsidRPr="00E01FFF">
              <w:rPr>
                <w:sz w:val="22"/>
                <w:szCs w:val="22"/>
              </w:rPr>
              <w:t xml:space="preserve"> la redacción del segundo punto </w:t>
            </w:r>
            <w:r w:rsidR="00144171" w:rsidRPr="00E01FFF">
              <w:rPr>
                <w:sz w:val="22"/>
                <w:szCs w:val="22"/>
              </w:rPr>
              <w:t>:</w:t>
            </w:r>
          </w:p>
          <w:p w:rsidR="00B16883" w:rsidRPr="00E01FFF" w:rsidRDefault="004F1FA5" w:rsidP="00144171">
            <w:pPr>
              <w:rPr>
                <w:i/>
              </w:rPr>
            </w:pPr>
            <w:r w:rsidRPr="00E01FFF">
              <w:rPr>
                <w:i/>
                <w:sz w:val="22"/>
                <w:szCs w:val="22"/>
              </w:rPr>
              <w:t xml:space="preserve">“De acuerdo con el Código de Conducta, se reforzarán los sistemas de consulta e interlocución con las entidades sociales </w:t>
            </w:r>
            <w:r w:rsidRPr="00E01FFF">
              <w:rPr>
                <w:i/>
                <w:color w:val="00B050"/>
                <w:sz w:val="22"/>
                <w:szCs w:val="22"/>
              </w:rPr>
              <w:t>en la gestión de los fondos</w:t>
            </w:r>
            <w:r w:rsidRPr="00E01FFF">
              <w:rPr>
                <w:i/>
                <w:sz w:val="22"/>
                <w:szCs w:val="22"/>
              </w:rPr>
              <w:t xml:space="preserve">, </w:t>
            </w:r>
            <w:r w:rsidRPr="00E01FFF">
              <w:rPr>
                <w:i/>
                <w:color w:val="00B050"/>
                <w:sz w:val="22"/>
                <w:szCs w:val="22"/>
              </w:rPr>
              <w:t>impulsando y facilitando su participación efectiva en la gobernanza de los Fondos Estructurales y de Inversión Europeos”.</w:t>
            </w:r>
          </w:p>
        </w:tc>
        <w:tc>
          <w:tcPr>
            <w:tcW w:w="4253" w:type="dxa"/>
          </w:tcPr>
          <w:p w:rsidR="00755312" w:rsidRPr="00E01FFF" w:rsidRDefault="00755312" w:rsidP="00E01FFF">
            <w:pPr>
              <w:autoSpaceDE w:val="0"/>
              <w:autoSpaceDN w:val="0"/>
              <w:adjustRightInd w:val="0"/>
              <w:spacing w:before="0" w:after="0"/>
              <w:jc w:val="left"/>
              <w:rPr>
                <w:rFonts w:ascii="TTFE62D370t00" w:eastAsia="Calibri" w:hAnsi="TTFE62D370t00" w:cs="TTFE62D370t00"/>
                <w:color w:val="000000"/>
                <w:sz w:val="22"/>
                <w:szCs w:val="22"/>
              </w:rPr>
            </w:pPr>
          </w:p>
          <w:p w:rsidR="00136207" w:rsidRPr="00E01FFF" w:rsidRDefault="00136207" w:rsidP="00E01FFF">
            <w:pPr>
              <w:autoSpaceDE w:val="0"/>
              <w:autoSpaceDN w:val="0"/>
              <w:adjustRightInd w:val="0"/>
              <w:spacing w:before="0" w:after="0"/>
              <w:rPr>
                <w:rFonts w:eastAsia="Calibri" w:cs="Arial"/>
                <w:b/>
                <w:color w:val="000000"/>
                <w:sz w:val="22"/>
                <w:szCs w:val="22"/>
              </w:rPr>
            </w:pPr>
            <w:r w:rsidRPr="00E01FFF">
              <w:rPr>
                <w:rFonts w:eastAsia="Calibri" w:cs="Arial"/>
                <w:color w:val="000000"/>
                <w:sz w:val="22"/>
                <w:szCs w:val="22"/>
              </w:rPr>
              <w:t xml:space="preserve">Partiendo de las </w:t>
            </w:r>
            <w:r w:rsidRPr="00E01FFF">
              <w:rPr>
                <w:rFonts w:eastAsia="Calibri" w:cs="Arial"/>
                <w:b/>
                <w:color w:val="000000"/>
                <w:sz w:val="22"/>
                <w:szCs w:val="22"/>
              </w:rPr>
              <w:t>experiencias previas exitosas (como el PO del FSE de Lucha contra la</w:t>
            </w:r>
            <w:r w:rsidR="00755312" w:rsidRPr="00E01FFF">
              <w:rPr>
                <w:rFonts w:eastAsia="Calibri" w:cs="Arial"/>
                <w:b/>
                <w:color w:val="000000"/>
                <w:sz w:val="22"/>
                <w:szCs w:val="22"/>
              </w:rPr>
              <w:t xml:space="preserve"> Discriminación), se seguirá </w:t>
            </w:r>
            <w:r w:rsidRPr="00E01FFF">
              <w:rPr>
                <w:rFonts w:eastAsia="Calibri" w:cs="Arial"/>
                <w:b/>
                <w:color w:val="000000"/>
                <w:sz w:val="22"/>
                <w:szCs w:val="22"/>
              </w:rPr>
              <w:t>ref</w:t>
            </w:r>
            <w:r w:rsidR="00755312" w:rsidRPr="00E01FFF">
              <w:rPr>
                <w:rFonts w:eastAsia="Calibri" w:cs="Arial"/>
                <w:b/>
                <w:color w:val="000000"/>
                <w:sz w:val="22"/>
                <w:szCs w:val="22"/>
              </w:rPr>
              <w:t xml:space="preserve">orzando la colaboración con las </w:t>
            </w:r>
            <w:r w:rsidRPr="00E01FFF">
              <w:rPr>
                <w:rFonts w:eastAsia="Calibri" w:cs="Arial"/>
                <w:b/>
                <w:color w:val="000000"/>
                <w:sz w:val="22"/>
                <w:szCs w:val="22"/>
              </w:rPr>
              <w:t>entidades sociales tanto en el plano</w:t>
            </w:r>
            <w:r w:rsidR="00755312" w:rsidRPr="00E01FFF">
              <w:rPr>
                <w:rFonts w:eastAsia="Calibri" w:cs="Arial"/>
                <w:b/>
                <w:color w:val="000000"/>
                <w:sz w:val="22"/>
                <w:szCs w:val="22"/>
              </w:rPr>
              <w:t xml:space="preserve"> </w:t>
            </w:r>
            <w:r w:rsidRPr="00E01FFF">
              <w:rPr>
                <w:rFonts w:eastAsia="Calibri" w:cs="Arial"/>
                <w:b/>
                <w:color w:val="000000"/>
                <w:sz w:val="22"/>
                <w:szCs w:val="22"/>
              </w:rPr>
              <w:t>nacional como en el autonómico en el desarrollo y la implementación de las medidas dirigidas al</w:t>
            </w:r>
            <w:r w:rsidR="00755312" w:rsidRPr="00E01FFF">
              <w:rPr>
                <w:rFonts w:eastAsia="Calibri" w:cs="Arial"/>
                <w:b/>
                <w:color w:val="000000"/>
                <w:sz w:val="22"/>
                <w:szCs w:val="22"/>
              </w:rPr>
              <w:t xml:space="preserve"> </w:t>
            </w:r>
            <w:r w:rsidRPr="00E01FFF">
              <w:rPr>
                <w:rFonts w:eastAsia="Calibri" w:cs="Arial"/>
                <w:b/>
                <w:color w:val="000000"/>
                <w:sz w:val="22"/>
                <w:szCs w:val="22"/>
              </w:rPr>
              <w:t>fomento de la inclusión social.</w:t>
            </w:r>
          </w:p>
          <w:p w:rsidR="00755312" w:rsidRPr="00E01FFF" w:rsidRDefault="00755312" w:rsidP="00E01FFF">
            <w:pPr>
              <w:autoSpaceDE w:val="0"/>
              <w:autoSpaceDN w:val="0"/>
              <w:adjustRightInd w:val="0"/>
              <w:spacing w:before="0" w:after="0"/>
              <w:rPr>
                <w:rFonts w:eastAsia="Calibri" w:cs="Arial"/>
                <w:b/>
                <w:color w:val="953634"/>
                <w:sz w:val="22"/>
                <w:szCs w:val="22"/>
              </w:rPr>
            </w:pPr>
          </w:p>
          <w:p w:rsidR="00B16883" w:rsidRPr="00E01FFF" w:rsidRDefault="00136207" w:rsidP="00E01FFF">
            <w:pPr>
              <w:autoSpaceDE w:val="0"/>
              <w:autoSpaceDN w:val="0"/>
              <w:adjustRightInd w:val="0"/>
              <w:spacing w:before="0" w:after="0"/>
              <w:rPr>
                <w:rFonts w:ascii="Arial" w:eastAsia="Calibri" w:hAnsi="Arial" w:cs="Arial"/>
                <w:color w:val="000000"/>
                <w:sz w:val="22"/>
                <w:szCs w:val="22"/>
              </w:rPr>
            </w:pPr>
            <w:r w:rsidRPr="00E01FFF">
              <w:rPr>
                <w:rFonts w:eastAsia="Calibri" w:cs="Arial"/>
                <w:color w:val="000000"/>
                <w:sz w:val="22"/>
                <w:szCs w:val="22"/>
              </w:rPr>
              <w:t>De acuerdo con el Código de Conducta, se reforzarán los sistemas de consulta e interlocución con</w:t>
            </w:r>
            <w:r w:rsidR="00755312" w:rsidRPr="00E01FFF">
              <w:rPr>
                <w:rFonts w:eastAsia="Calibri" w:cs="Arial"/>
                <w:color w:val="000000"/>
                <w:sz w:val="22"/>
                <w:szCs w:val="22"/>
              </w:rPr>
              <w:t xml:space="preserve"> </w:t>
            </w:r>
            <w:r w:rsidRPr="00E01FFF">
              <w:rPr>
                <w:rFonts w:eastAsia="Calibri" w:cs="Arial"/>
                <w:color w:val="000000"/>
                <w:sz w:val="22"/>
                <w:szCs w:val="22"/>
              </w:rPr>
              <w:t xml:space="preserve">las entidades sociales, </w:t>
            </w:r>
            <w:r w:rsidRPr="00E01FFF">
              <w:rPr>
                <w:rFonts w:eastAsia="Calibri" w:cs="Arial"/>
                <w:b/>
                <w:color w:val="000000"/>
                <w:sz w:val="22"/>
                <w:szCs w:val="22"/>
              </w:rPr>
              <w:t>impulsando y facilitando su participación efectiva en la gobernanza de los</w:t>
            </w:r>
            <w:r w:rsidR="00755312" w:rsidRPr="00E01FFF">
              <w:rPr>
                <w:rFonts w:eastAsia="Calibri" w:cs="Arial"/>
                <w:b/>
                <w:color w:val="000000"/>
                <w:sz w:val="22"/>
                <w:szCs w:val="22"/>
              </w:rPr>
              <w:t xml:space="preserve"> </w:t>
            </w:r>
            <w:r w:rsidRPr="00E01FFF">
              <w:rPr>
                <w:rFonts w:eastAsia="Calibri" w:cs="Arial"/>
                <w:b/>
                <w:color w:val="000000"/>
                <w:sz w:val="22"/>
                <w:szCs w:val="22"/>
              </w:rPr>
              <w:t>Fondos EIE.</w:t>
            </w:r>
          </w:p>
        </w:tc>
      </w:tr>
    </w:tbl>
    <w:p w:rsidR="00136207" w:rsidRPr="00136207" w:rsidRDefault="00136207" w:rsidP="00136207">
      <w:pPr>
        <w:rPr>
          <w:i/>
          <w:lang w:val="es-ES_tradnl"/>
        </w:rPr>
      </w:pPr>
      <w:r w:rsidRPr="00136207">
        <w:rPr>
          <w:b/>
          <w:i/>
          <w:lang w:val="es-ES_tradnl"/>
        </w:rPr>
        <w:t>Comentarios:</w:t>
      </w:r>
      <w:r w:rsidRPr="00136207">
        <w:rPr>
          <w:i/>
          <w:lang w:val="es-ES_tradnl"/>
        </w:rPr>
        <w:t xml:space="preserve"> </w:t>
      </w:r>
    </w:p>
    <w:p w:rsidR="00136207" w:rsidRPr="00136207" w:rsidRDefault="00136207" w:rsidP="00136207">
      <w:pPr>
        <w:rPr>
          <w:lang w:val="es-ES_tradnl"/>
        </w:rPr>
      </w:pPr>
      <w:r w:rsidRPr="00136207">
        <w:rPr>
          <w:lang w:val="es-ES_tradnl"/>
        </w:rPr>
        <w:t>Se ha</w:t>
      </w:r>
      <w:r w:rsidR="00694BEB">
        <w:rPr>
          <w:lang w:val="es-ES_tradnl"/>
        </w:rPr>
        <w:t>n</w:t>
      </w:r>
      <w:r w:rsidRPr="00136207">
        <w:rPr>
          <w:lang w:val="es-ES_tradnl"/>
        </w:rPr>
        <w:t xml:space="preserve"> añadido en la última versión </w:t>
      </w:r>
      <w:r w:rsidR="00694BEB">
        <w:rPr>
          <w:lang w:val="es-ES_tradnl"/>
        </w:rPr>
        <w:t xml:space="preserve">del </w:t>
      </w:r>
      <w:r w:rsidR="00FF4E4C">
        <w:rPr>
          <w:lang w:val="es-ES_tradnl"/>
        </w:rPr>
        <w:t>AdA,</w:t>
      </w:r>
      <w:r w:rsidR="00FF4E4C" w:rsidRPr="00136207">
        <w:rPr>
          <w:lang w:val="es-ES_tradnl"/>
        </w:rPr>
        <w:t xml:space="preserve"> con</w:t>
      </w:r>
      <w:r w:rsidRPr="00136207">
        <w:rPr>
          <w:lang w:val="es-ES_tradnl"/>
        </w:rPr>
        <w:t xml:space="preserve"> una </w:t>
      </w:r>
      <w:r w:rsidR="004205B9" w:rsidRPr="00136207">
        <w:rPr>
          <w:lang w:val="es-ES_tradnl"/>
        </w:rPr>
        <w:t>redacción</w:t>
      </w:r>
      <w:r w:rsidRPr="00136207">
        <w:rPr>
          <w:lang w:val="es-ES_tradnl"/>
        </w:rPr>
        <w:t xml:space="preserve"> similar</w:t>
      </w:r>
      <w:r w:rsidR="00694BEB">
        <w:rPr>
          <w:lang w:val="es-ES_tradnl"/>
        </w:rPr>
        <w:t>, nuestras</w:t>
      </w:r>
      <w:r w:rsidRPr="00136207">
        <w:rPr>
          <w:lang w:val="es-ES_tradnl"/>
        </w:rPr>
        <w:t xml:space="preserve"> sugere</w:t>
      </w:r>
      <w:r w:rsidR="00087A0C">
        <w:rPr>
          <w:lang w:val="es-ES_tradnl"/>
        </w:rPr>
        <w:t>ncias aportadas a la Consulta Pú</w:t>
      </w:r>
      <w:r w:rsidRPr="00136207">
        <w:rPr>
          <w:lang w:val="es-ES_tradnl"/>
        </w:rPr>
        <w:t>blica</w:t>
      </w:r>
      <w:r w:rsidR="00087A0C">
        <w:rPr>
          <w:lang w:val="es-ES_tradnl"/>
        </w:rPr>
        <w:t>,</w:t>
      </w:r>
      <w:r w:rsidR="00694BEB">
        <w:rPr>
          <w:lang w:val="es-ES_tradnl"/>
        </w:rPr>
        <w:t xml:space="preserve"> </w:t>
      </w:r>
      <w:r w:rsidR="00FF4E4C">
        <w:rPr>
          <w:lang w:val="es-ES_tradnl"/>
        </w:rPr>
        <w:t>poniéndose</w:t>
      </w:r>
      <w:r w:rsidR="00694BEB">
        <w:rPr>
          <w:lang w:val="es-ES_tradnl"/>
        </w:rPr>
        <w:t xml:space="preserve"> así </w:t>
      </w:r>
      <w:r w:rsidRPr="00136207">
        <w:rPr>
          <w:lang w:val="es-ES_tradnl"/>
        </w:rPr>
        <w:t>de manifiesto</w:t>
      </w:r>
      <w:r w:rsidR="00694BEB">
        <w:rPr>
          <w:lang w:val="es-ES_tradnl"/>
        </w:rPr>
        <w:t>,</w:t>
      </w:r>
      <w:r w:rsidR="00602443">
        <w:rPr>
          <w:lang w:val="es-ES_tradnl"/>
        </w:rPr>
        <w:t xml:space="preserve"> el </w:t>
      </w:r>
      <w:r w:rsidRPr="00136207">
        <w:t>valor</w:t>
      </w:r>
      <w:r w:rsidR="00144171">
        <w:t xml:space="preserve"> de</w:t>
      </w:r>
      <w:r w:rsidRPr="00136207">
        <w:t xml:space="preserve"> los logros alcanzados por la gestión de Fondos Europeos en España y</w:t>
      </w:r>
      <w:r w:rsidR="00694BEB">
        <w:t xml:space="preserve"> </w:t>
      </w:r>
      <w:r w:rsidR="00FF4E4C">
        <w:t>reforzándose</w:t>
      </w:r>
      <w:r w:rsidR="00694BEB">
        <w:t xml:space="preserve"> los sistemas de consulta e interlocución entre las entidades sociales (</w:t>
      </w:r>
      <w:r w:rsidR="00602443">
        <w:t>se</w:t>
      </w:r>
      <w:r w:rsidR="00144171">
        <w:t xml:space="preserve"> materializa</w:t>
      </w:r>
      <w:r w:rsidR="00694BEB">
        <w:t xml:space="preserve"> en mayor</w:t>
      </w:r>
      <w:r w:rsidRPr="00136207">
        <w:t xml:space="preserve"> medida el principio de partenar</w:t>
      </w:r>
      <w:r w:rsidR="00087A0C">
        <w:t xml:space="preserve">iado previsto para este </w:t>
      </w:r>
      <w:r w:rsidR="00144171">
        <w:t>period</w:t>
      </w:r>
      <w:r w:rsidR="00694BEB">
        <w:t>o)</w:t>
      </w:r>
      <w:r w:rsidR="00174B9C">
        <w:t>.</w:t>
      </w:r>
    </w:p>
    <w:p w:rsidR="00136207" w:rsidRPr="00087A0C" w:rsidRDefault="00136207" w:rsidP="006630AD">
      <w:pPr>
        <w:rPr>
          <w:lang w:val="es-ES_tradnl"/>
        </w:rPr>
      </w:pPr>
    </w:p>
    <w:p w:rsidR="006630AD" w:rsidRDefault="004E26C0" w:rsidP="006630AD">
      <w:pPr>
        <w:rPr>
          <w:b/>
          <w:i/>
        </w:rPr>
      </w:pPr>
      <w:r>
        <w:lastRenderedPageBreak/>
        <w:t>E</w:t>
      </w:r>
      <w:r w:rsidR="006630AD" w:rsidRPr="00B36B4A">
        <w:t>pígrafe</w:t>
      </w:r>
      <w:r w:rsidR="006630AD">
        <w:t xml:space="preserve"> “</w:t>
      </w:r>
      <w:r w:rsidR="006630AD" w:rsidRPr="00B36B4A">
        <w:rPr>
          <w:b/>
        </w:rPr>
        <w:t>Propuestas de Intervención”, en el apartado “</w:t>
      </w:r>
      <w:r w:rsidR="006630AD">
        <w:rPr>
          <w:b/>
          <w:i/>
        </w:rPr>
        <w:t>5</w:t>
      </w:r>
      <w:r w:rsidR="006630AD" w:rsidRPr="00B36B4A">
        <w:rPr>
          <w:b/>
          <w:i/>
        </w:rPr>
        <w:t xml:space="preserve">. </w:t>
      </w:r>
      <w:r w:rsidR="006630AD">
        <w:rPr>
          <w:b/>
        </w:rPr>
        <w:t>Fomento de la economía social y de las empresas sociales</w:t>
      </w:r>
      <w:r w:rsidR="006630AD" w:rsidRPr="00B36B4A">
        <w:rPr>
          <w:b/>
          <w:i/>
        </w:rPr>
        <w:t>”</w:t>
      </w:r>
      <w:r w:rsidR="006630AD">
        <w:rPr>
          <w:b/>
          <w:i/>
        </w:rPr>
        <w:t>.</w:t>
      </w:r>
      <w:r w:rsidR="004D2102" w:rsidRPr="004D2102">
        <w:rPr>
          <w:b/>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4253"/>
        <w:gridCol w:w="5103"/>
      </w:tblGrid>
      <w:tr w:rsidR="004F1FA5" w:rsidRPr="00BA2F55" w:rsidTr="00E01FFF">
        <w:tc>
          <w:tcPr>
            <w:tcW w:w="4219" w:type="dxa"/>
            <w:shd w:val="clear" w:color="auto" w:fill="7C9FCF"/>
          </w:tcPr>
          <w:p w:rsidR="004F1FA5" w:rsidRPr="00E01FFF" w:rsidRDefault="004F1FA5" w:rsidP="00E01FFF">
            <w:pPr>
              <w:jc w:val="center"/>
              <w:rPr>
                <w:b/>
                <w:lang w:val="es-ES_tradnl"/>
              </w:rPr>
            </w:pPr>
            <w:r w:rsidRPr="00E01FFF">
              <w:rPr>
                <w:b/>
                <w:lang w:val="es-ES_tradnl"/>
              </w:rPr>
              <w:t>Borrador AdA (21-03-14)</w:t>
            </w:r>
            <w:r w:rsidRPr="00E01FFF">
              <w:rPr>
                <w:sz w:val="20"/>
                <w:szCs w:val="20"/>
              </w:rPr>
              <w:t xml:space="preserve"> (Pág. 119</w:t>
            </w:r>
            <w:r w:rsidRPr="00E01FFF">
              <w:rPr>
                <w:sz w:val="20"/>
                <w:szCs w:val="20"/>
                <w:lang w:val="es-ES_tradnl"/>
              </w:rPr>
              <w:t>)</w:t>
            </w:r>
          </w:p>
        </w:tc>
        <w:tc>
          <w:tcPr>
            <w:tcW w:w="4253" w:type="dxa"/>
            <w:shd w:val="clear" w:color="auto" w:fill="7C9FCF"/>
          </w:tcPr>
          <w:p w:rsidR="004F1FA5" w:rsidRPr="00E01FFF" w:rsidRDefault="004F1FA5" w:rsidP="00E01FFF">
            <w:pPr>
              <w:jc w:val="center"/>
              <w:rPr>
                <w:b/>
                <w:lang w:val="es-ES_tradnl"/>
              </w:rPr>
            </w:pPr>
            <w:r w:rsidRPr="00E01FFF">
              <w:rPr>
                <w:b/>
                <w:lang w:val="es-ES_tradnl"/>
              </w:rPr>
              <w:t>Aportaciones CERMI</w:t>
            </w:r>
            <w:r w:rsidRPr="00E01FFF">
              <w:rPr>
                <w:sz w:val="20"/>
                <w:szCs w:val="20"/>
              </w:rPr>
              <w:t>(Pág. 119</w:t>
            </w:r>
            <w:r w:rsidRPr="00E01FFF">
              <w:rPr>
                <w:sz w:val="20"/>
                <w:szCs w:val="20"/>
                <w:lang w:val="es-ES_tradnl"/>
              </w:rPr>
              <w:t>)</w:t>
            </w:r>
          </w:p>
        </w:tc>
        <w:tc>
          <w:tcPr>
            <w:tcW w:w="5103" w:type="dxa"/>
            <w:shd w:val="clear" w:color="auto" w:fill="7C9FCF"/>
          </w:tcPr>
          <w:p w:rsidR="004F1FA5" w:rsidRPr="00E01FFF" w:rsidRDefault="004F1FA5" w:rsidP="00E01FFF">
            <w:pPr>
              <w:jc w:val="center"/>
              <w:rPr>
                <w:b/>
                <w:lang w:val="es-ES_tradnl"/>
              </w:rPr>
            </w:pPr>
            <w:r w:rsidRPr="00E01FFF">
              <w:rPr>
                <w:b/>
                <w:lang w:val="es-ES_tradnl"/>
              </w:rPr>
              <w:t>Versión del AdA enviado a CE (22-04-14)</w:t>
            </w:r>
            <w:r w:rsidR="00600030" w:rsidRPr="00E01FFF">
              <w:rPr>
                <w:sz w:val="20"/>
                <w:szCs w:val="20"/>
              </w:rPr>
              <w:t xml:space="preserve"> (Pág. 120)</w:t>
            </w:r>
          </w:p>
        </w:tc>
      </w:tr>
      <w:tr w:rsidR="004F1FA5" w:rsidTr="00E01FFF">
        <w:tc>
          <w:tcPr>
            <w:tcW w:w="4219" w:type="dxa"/>
          </w:tcPr>
          <w:p w:rsidR="004F1FA5" w:rsidRPr="00E01FFF" w:rsidRDefault="004F1FA5" w:rsidP="007303D8">
            <w:pPr>
              <w:rPr>
                <w:lang w:val="es-ES_tradnl"/>
              </w:rPr>
            </w:pPr>
          </w:p>
        </w:tc>
        <w:tc>
          <w:tcPr>
            <w:tcW w:w="4253" w:type="dxa"/>
          </w:tcPr>
          <w:p w:rsidR="004F1FA5" w:rsidRPr="00E01FFF" w:rsidRDefault="004F1FA5" w:rsidP="007303D8">
            <w:pPr>
              <w:rPr>
                <w:i/>
              </w:rPr>
            </w:pPr>
            <w:r w:rsidRPr="00E01FFF">
              <w:rPr>
                <w:b/>
              </w:rPr>
              <w:t>Incluir expresamente:</w:t>
            </w:r>
            <w:r w:rsidRPr="00A73706">
              <w:t xml:space="preserve"> que </w:t>
            </w:r>
            <w:r w:rsidRPr="00E01FFF">
              <w:rPr>
                <w:color w:val="00B050"/>
              </w:rPr>
              <w:t>“</w:t>
            </w:r>
            <w:r w:rsidRPr="00E01FFF">
              <w:rPr>
                <w:i/>
                <w:color w:val="00B050"/>
              </w:rPr>
              <w:t>el apoyo a las economía social y a las empresas sociales (cooperativas, sociedades laborales, centros especiales de empleo y empresas de inserción) se hará a través del conjunto de los Fondos EIE, especialmente FSE, FEDER, y FEADER.”</w:t>
            </w:r>
          </w:p>
        </w:tc>
        <w:tc>
          <w:tcPr>
            <w:tcW w:w="5103" w:type="dxa"/>
          </w:tcPr>
          <w:p w:rsidR="002E46A2" w:rsidRPr="00E01FFF" w:rsidRDefault="002E46A2" w:rsidP="00E01FFF">
            <w:pPr>
              <w:autoSpaceDE w:val="0"/>
              <w:autoSpaceDN w:val="0"/>
              <w:adjustRightInd w:val="0"/>
              <w:spacing w:before="0" w:after="0"/>
              <w:rPr>
                <w:rFonts w:eastAsia="Calibri" w:cs="TTFE62D370t00"/>
                <w:color w:val="000000"/>
                <w:sz w:val="22"/>
                <w:szCs w:val="22"/>
              </w:rPr>
            </w:pPr>
            <w:r w:rsidRPr="00E01FFF">
              <w:rPr>
                <w:rFonts w:eastAsia="Calibri" w:cs="TTFE62D370t00"/>
                <w:color w:val="000000"/>
                <w:sz w:val="22"/>
                <w:szCs w:val="22"/>
              </w:rPr>
              <w:t>Se fomentará el apoyo a las empresas de economía social en general.</w:t>
            </w:r>
          </w:p>
          <w:p w:rsidR="002E46A2" w:rsidRPr="00E01FFF" w:rsidRDefault="002E46A2" w:rsidP="00E01FFF">
            <w:pPr>
              <w:autoSpaceDE w:val="0"/>
              <w:autoSpaceDN w:val="0"/>
              <w:adjustRightInd w:val="0"/>
              <w:spacing w:before="0" w:after="0"/>
              <w:rPr>
                <w:rFonts w:eastAsia="Calibri" w:cs="TTFE62D370t00"/>
                <w:color w:val="000000"/>
                <w:sz w:val="22"/>
                <w:szCs w:val="22"/>
              </w:rPr>
            </w:pPr>
          </w:p>
          <w:p w:rsidR="002E46A2" w:rsidRPr="00E01FFF" w:rsidRDefault="002E46A2" w:rsidP="00E01FFF">
            <w:pPr>
              <w:autoSpaceDE w:val="0"/>
              <w:autoSpaceDN w:val="0"/>
              <w:adjustRightInd w:val="0"/>
              <w:spacing w:before="0" w:after="0"/>
              <w:rPr>
                <w:rFonts w:eastAsia="Calibri" w:cs="TTFE62D370t00"/>
                <w:b/>
                <w:color w:val="000000"/>
                <w:sz w:val="22"/>
                <w:szCs w:val="22"/>
              </w:rPr>
            </w:pPr>
            <w:r w:rsidRPr="00E01FFF">
              <w:rPr>
                <w:rFonts w:eastAsia="Calibri" w:cs="TTFE62D370t00"/>
                <w:b/>
                <w:color w:val="000000"/>
                <w:sz w:val="22"/>
                <w:szCs w:val="22"/>
              </w:rPr>
              <w:t>Se apoyará especialmente a las cooperativas, a las sociedades laborales, a los centros especiales de empleo y a las empresas de inserción como entidades clave a la hora de fomentar el empleo entre los grupos en situación de exclusión.</w:t>
            </w:r>
          </w:p>
          <w:p w:rsidR="002E46A2" w:rsidRPr="00E01FFF" w:rsidRDefault="002E46A2" w:rsidP="00E01FFF">
            <w:pPr>
              <w:autoSpaceDE w:val="0"/>
              <w:autoSpaceDN w:val="0"/>
              <w:adjustRightInd w:val="0"/>
              <w:spacing w:before="0" w:after="0"/>
              <w:rPr>
                <w:rFonts w:eastAsia="Calibri" w:cs="TTFE62D370t00"/>
                <w:color w:val="000000"/>
                <w:sz w:val="22"/>
                <w:szCs w:val="22"/>
              </w:rPr>
            </w:pPr>
          </w:p>
          <w:p w:rsidR="004F1FA5" w:rsidRPr="00E01FFF" w:rsidRDefault="002E46A2" w:rsidP="00E01FFF">
            <w:pPr>
              <w:autoSpaceDE w:val="0"/>
              <w:autoSpaceDN w:val="0"/>
              <w:adjustRightInd w:val="0"/>
              <w:spacing w:before="0" w:after="0"/>
              <w:rPr>
                <w:rFonts w:ascii="TTFE62D370t00" w:eastAsia="Calibri" w:hAnsi="TTFE62D370t00" w:cs="TTFE62D370t00"/>
                <w:b/>
                <w:color w:val="000000"/>
                <w:sz w:val="22"/>
                <w:szCs w:val="22"/>
              </w:rPr>
            </w:pPr>
            <w:r w:rsidRPr="00E01FFF">
              <w:rPr>
                <w:rFonts w:eastAsia="Calibri" w:cs="TTFE62D370t00"/>
                <w:b/>
                <w:color w:val="000000"/>
                <w:sz w:val="22"/>
                <w:szCs w:val="22"/>
              </w:rPr>
              <w:t>El apoyo a la economía social y a las empresas sociales se hará a través del conjunto de los Fondos EIE.</w:t>
            </w:r>
          </w:p>
        </w:tc>
      </w:tr>
    </w:tbl>
    <w:p w:rsidR="004F1FA5" w:rsidRDefault="002E46A2" w:rsidP="004F1FA5">
      <w:pPr>
        <w:rPr>
          <w:b/>
          <w:lang w:val="es-ES_tradnl"/>
        </w:rPr>
      </w:pPr>
      <w:r>
        <w:rPr>
          <w:b/>
          <w:lang w:val="es-ES_tradnl"/>
        </w:rPr>
        <w:t>Comentario:</w:t>
      </w:r>
    </w:p>
    <w:p w:rsidR="002E46A2" w:rsidRPr="00EC4124" w:rsidRDefault="009E4FF4" w:rsidP="004F1FA5">
      <w:pPr>
        <w:rPr>
          <w:lang w:val="es-ES_tradnl"/>
        </w:rPr>
      </w:pPr>
      <w:r>
        <w:rPr>
          <w:lang w:val="es-ES_tradnl"/>
        </w:rPr>
        <w:t>Las a</w:t>
      </w:r>
      <w:r w:rsidR="00430697" w:rsidRPr="00430697">
        <w:rPr>
          <w:lang w:val="es-ES_tradnl"/>
        </w:rPr>
        <w:t>port</w:t>
      </w:r>
      <w:r w:rsidR="00B74B29">
        <w:rPr>
          <w:lang w:val="es-ES_tradnl"/>
        </w:rPr>
        <w:t>aciones han sido incluidas en la</w:t>
      </w:r>
      <w:r w:rsidR="00430697" w:rsidRPr="00430697">
        <w:rPr>
          <w:lang w:val="es-ES_tradnl"/>
        </w:rPr>
        <w:t xml:space="preserve"> </w:t>
      </w:r>
      <w:r w:rsidR="004205B9" w:rsidRPr="00430697">
        <w:rPr>
          <w:lang w:val="es-ES_tradnl"/>
        </w:rPr>
        <w:t>versión</w:t>
      </w:r>
      <w:r w:rsidR="00430697" w:rsidRPr="00430697">
        <w:rPr>
          <w:lang w:val="es-ES_tradnl"/>
        </w:rPr>
        <w:t xml:space="preserve"> fin</w:t>
      </w:r>
      <w:r w:rsidR="00B74B29">
        <w:rPr>
          <w:lang w:val="es-ES_tradnl"/>
        </w:rPr>
        <w:t xml:space="preserve">al </w:t>
      </w:r>
      <w:r w:rsidR="004838E2">
        <w:rPr>
          <w:lang w:val="es-ES_tradnl"/>
        </w:rPr>
        <w:t xml:space="preserve">del AdA, </w:t>
      </w:r>
      <w:r w:rsidR="00B74B29">
        <w:rPr>
          <w:lang w:val="es-ES_tradnl"/>
        </w:rPr>
        <w:t xml:space="preserve">quedando </w:t>
      </w:r>
      <w:r w:rsidR="004838E2">
        <w:rPr>
          <w:lang w:val="es-ES_tradnl"/>
        </w:rPr>
        <w:t>en definitiva</w:t>
      </w:r>
      <w:r w:rsidR="00430697" w:rsidRPr="00430697">
        <w:rPr>
          <w:lang w:val="es-ES_tradnl"/>
        </w:rPr>
        <w:t xml:space="preserve"> una </w:t>
      </w:r>
      <w:r w:rsidR="004205B9" w:rsidRPr="00430697">
        <w:rPr>
          <w:lang w:val="es-ES_tradnl"/>
        </w:rPr>
        <w:t>redacción</w:t>
      </w:r>
      <w:r w:rsidR="00430697" w:rsidRPr="00430697">
        <w:rPr>
          <w:lang w:val="es-ES_tradnl"/>
        </w:rPr>
        <w:t xml:space="preserve"> mejorada </w:t>
      </w:r>
      <w:r w:rsidR="00B74B29">
        <w:rPr>
          <w:lang w:val="es-ES_tradnl"/>
        </w:rPr>
        <w:t xml:space="preserve">y en </w:t>
      </w:r>
      <w:r>
        <w:rPr>
          <w:lang w:val="es-ES_tradnl"/>
        </w:rPr>
        <w:t xml:space="preserve">línea con los intereses del movimiento de la </w:t>
      </w:r>
      <w:r w:rsidR="00853390">
        <w:rPr>
          <w:lang w:val="es-ES_tradnl"/>
        </w:rPr>
        <w:t>discapacidad</w:t>
      </w:r>
      <w:r w:rsidR="004838E2">
        <w:rPr>
          <w:lang w:val="es-ES_tradnl"/>
        </w:rPr>
        <w:t>.</w:t>
      </w:r>
      <w:r w:rsidR="00B74B29">
        <w:rPr>
          <w:lang w:val="es-ES_tradnl"/>
        </w:rPr>
        <w:t xml:space="preserve"> </w:t>
      </w:r>
      <w:r w:rsidR="00174B9C" w:rsidRPr="00EC4124">
        <w:rPr>
          <w:lang w:val="es-ES_tradnl"/>
        </w:rPr>
        <w:t xml:space="preserve">Se refuerza el apoyo a la </w:t>
      </w:r>
      <w:r w:rsidR="00D678AF" w:rsidRPr="00EC4124">
        <w:rPr>
          <w:lang w:val="es-ES_tradnl"/>
        </w:rPr>
        <w:t>economía</w:t>
      </w:r>
      <w:r w:rsidR="00174B9C" w:rsidRPr="00EC4124">
        <w:rPr>
          <w:lang w:val="es-ES_tradnl"/>
        </w:rPr>
        <w:t xml:space="preserve"> social </w:t>
      </w:r>
      <w:r w:rsidR="00D678AF" w:rsidRPr="00EC4124">
        <w:rPr>
          <w:lang w:val="es-ES_tradnl"/>
        </w:rPr>
        <w:t>a través</w:t>
      </w:r>
      <w:r w:rsidR="00174B9C" w:rsidRPr="00EC4124">
        <w:rPr>
          <w:lang w:val="es-ES_tradnl"/>
        </w:rPr>
        <w:t xml:space="preserve"> de los Fondos </w:t>
      </w:r>
      <w:r w:rsidR="00D678AF" w:rsidRPr="00EC4124">
        <w:rPr>
          <w:lang w:val="es-ES_tradnl"/>
        </w:rPr>
        <w:t>EIE</w:t>
      </w:r>
      <w:r w:rsidR="00174B9C" w:rsidRPr="00EC4124">
        <w:rPr>
          <w:lang w:val="es-ES_tradnl"/>
        </w:rPr>
        <w:t xml:space="preserve"> de una manera más concreta y en especial a las </w:t>
      </w:r>
      <w:r w:rsidR="00174B9C" w:rsidRPr="00EC4124">
        <w:rPr>
          <w:rFonts w:eastAsia="Calibri" w:cs="TTFE62D370t00"/>
          <w:color w:val="000000"/>
        </w:rPr>
        <w:t xml:space="preserve">las cooperativas, a las sociedades laborales, a los centros especiales de empleo y a las empresas de inserción </w:t>
      </w:r>
      <w:r w:rsidR="00D678AF" w:rsidRPr="00EC4124">
        <w:rPr>
          <w:rFonts w:eastAsia="Calibri" w:cs="TTFE62D370t00"/>
          <w:color w:val="000000"/>
        </w:rPr>
        <w:t>considerándolas</w:t>
      </w:r>
      <w:r w:rsidR="00174B9C" w:rsidRPr="00EC4124">
        <w:rPr>
          <w:rFonts w:eastAsia="Calibri" w:cs="TTFE62D370t00"/>
          <w:color w:val="000000"/>
        </w:rPr>
        <w:t xml:space="preserve"> clave </w:t>
      </w:r>
      <w:r w:rsidR="00D678AF" w:rsidRPr="00EC4124">
        <w:rPr>
          <w:rFonts w:eastAsia="Calibri" w:cs="TTFE62D370t00"/>
          <w:color w:val="000000"/>
        </w:rPr>
        <w:t>a</w:t>
      </w:r>
      <w:r w:rsidR="00174B9C" w:rsidRPr="00EC4124">
        <w:rPr>
          <w:rFonts w:eastAsia="Calibri" w:cs="TTFE62D370t00"/>
          <w:color w:val="000000"/>
        </w:rPr>
        <w:t xml:space="preserve"> la hora de fomentar el empleo en los grupos en </w:t>
      </w:r>
      <w:r w:rsidR="00D678AF" w:rsidRPr="00EC4124">
        <w:rPr>
          <w:rFonts w:eastAsia="Calibri" w:cs="TTFE62D370t00"/>
          <w:color w:val="000000"/>
        </w:rPr>
        <w:t>situación</w:t>
      </w:r>
      <w:r w:rsidR="00174B9C" w:rsidRPr="00EC4124">
        <w:rPr>
          <w:rFonts w:eastAsia="Calibri" w:cs="TTFE62D370t00"/>
          <w:color w:val="000000"/>
        </w:rPr>
        <w:t xml:space="preserve"> de exclusión.</w:t>
      </w:r>
    </w:p>
    <w:p w:rsidR="00430697" w:rsidRDefault="00430697" w:rsidP="00B678C5">
      <w:pPr>
        <w:pStyle w:val="Bolos"/>
        <w:numPr>
          <w:ilvl w:val="0"/>
          <w:numId w:val="0"/>
        </w:numPr>
        <w:rPr>
          <w:b/>
          <w:lang w:val="es-ES_tradnl"/>
        </w:rPr>
      </w:pPr>
    </w:p>
    <w:p w:rsidR="00415A31" w:rsidRDefault="00415A31" w:rsidP="00B678C5">
      <w:pPr>
        <w:pStyle w:val="Bolos"/>
        <w:numPr>
          <w:ilvl w:val="0"/>
          <w:numId w:val="0"/>
        </w:numPr>
        <w:rPr>
          <w:b/>
          <w:i/>
          <w:u w:val="single"/>
        </w:rPr>
      </w:pPr>
    </w:p>
    <w:p w:rsidR="00415A31" w:rsidRDefault="00415A31" w:rsidP="00B678C5">
      <w:pPr>
        <w:pStyle w:val="Bolos"/>
        <w:numPr>
          <w:ilvl w:val="0"/>
          <w:numId w:val="0"/>
        </w:numPr>
        <w:rPr>
          <w:b/>
          <w:i/>
          <w:u w:val="single"/>
        </w:rPr>
      </w:pPr>
    </w:p>
    <w:p w:rsidR="00415A31" w:rsidRDefault="00415A31" w:rsidP="00B678C5">
      <w:pPr>
        <w:pStyle w:val="Bolos"/>
        <w:numPr>
          <w:ilvl w:val="0"/>
          <w:numId w:val="0"/>
        </w:numPr>
        <w:rPr>
          <w:b/>
          <w:i/>
          <w:u w:val="single"/>
        </w:rPr>
      </w:pPr>
    </w:p>
    <w:p w:rsidR="00415A31" w:rsidRDefault="00415A31" w:rsidP="00B678C5">
      <w:pPr>
        <w:pStyle w:val="Bolos"/>
        <w:numPr>
          <w:ilvl w:val="0"/>
          <w:numId w:val="0"/>
        </w:numPr>
        <w:rPr>
          <w:b/>
          <w:i/>
          <w:u w:val="single"/>
        </w:rPr>
      </w:pPr>
    </w:p>
    <w:p w:rsidR="00415A31" w:rsidRDefault="00415A31" w:rsidP="00B678C5">
      <w:pPr>
        <w:pStyle w:val="Bolos"/>
        <w:numPr>
          <w:ilvl w:val="0"/>
          <w:numId w:val="0"/>
        </w:numPr>
        <w:rPr>
          <w:b/>
          <w:i/>
          <w:u w:val="single"/>
        </w:rPr>
      </w:pPr>
    </w:p>
    <w:p w:rsidR="00415A31" w:rsidRDefault="00415A31" w:rsidP="00B678C5">
      <w:pPr>
        <w:pStyle w:val="Bolos"/>
        <w:numPr>
          <w:ilvl w:val="0"/>
          <w:numId w:val="0"/>
        </w:numPr>
        <w:rPr>
          <w:b/>
          <w:i/>
          <w:u w:val="single"/>
        </w:rPr>
      </w:pPr>
    </w:p>
    <w:p w:rsidR="006630AD" w:rsidRDefault="006630AD" w:rsidP="00B678C5">
      <w:pPr>
        <w:pStyle w:val="Bolos"/>
        <w:numPr>
          <w:ilvl w:val="0"/>
          <w:numId w:val="0"/>
        </w:numPr>
        <w:rPr>
          <w:sz w:val="20"/>
          <w:szCs w:val="20"/>
        </w:rPr>
      </w:pPr>
      <w:r w:rsidRPr="00F90606">
        <w:rPr>
          <w:b/>
          <w:i/>
          <w:u w:val="single"/>
        </w:rPr>
        <w:t>Punto 1.5.4 O</w:t>
      </w:r>
      <w:r w:rsidR="004D2102">
        <w:rPr>
          <w:b/>
          <w:i/>
          <w:u w:val="single"/>
        </w:rPr>
        <w:t>BJETIVO HORIZONTAL: ACCESIBILIDAD</w:t>
      </w:r>
      <w:r w:rsidR="002E46A2">
        <w:rPr>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5812"/>
        <w:gridCol w:w="5812"/>
      </w:tblGrid>
      <w:tr w:rsidR="004F1FA5" w:rsidRPr="00BA2F55" w:rsidTr="00E01FFF">
        <w:tc>
          <w:tcPr>
            <w:tcW w:w="1951" w:type="dxa"/>
            <w:shd w:val="clear" w:color="auto" w:fill="7C9FCF"/>
          </w:tcPr>
          <w:p w:rsidR="004F1FA5" w:rsidRPr="00E01FFF" w:rsidRDefault="004F1FA5" w:rsidP="00E01FFF">
            <w:pPr>
              <w:jc w:val="center"/>
              <w:rPr>
                <w:b/>
                <w:lang w:val="es-ES_tradnl"/>
              </w:rPr>
            </w:pPr>
            <w:r w:rsidRPr="00E01FFF">
              <w:rPr>
                <w:b/>
                <w:lang w:val="es-ES_tradnl"/>
              </w:rPr>
              <w:t>Borrador AdA (21-03-14)</w:t>
            </w:r>
            <w:r w:rsidRPr="00E01FFF">
              <w:rPr>
                <w:sz w:val="20"/>
                <w:szCs w:val="20"/>
              </w:rPr>
              <w:t xml:space="preserve"> (Pág. 162 y </w:t>
            </w:r>
            <w:r w:rsidR="004205B9" w:rsidRPr="00E01FFF">
              <w:rPr>
                <w:sz w:val="20"/>
                <w:szCs w:val="20"/>
              </w:rPr>
              <w:t>ss.</w:t>
            </w:r>
            <w:r w:rsidR="00430697" w:rsidRPr="00E01FFF">
              <w:rPr>
                <w:sz w:val="20"/>
                <w:szCs w:val="20"/>
              </w:rPr>
              <w:t>)</w:t>
            </w:r>
          </w:p>
        </w:tc>
        <w:tc>
          <w:tcPr>
            <w:tcW w:w="5812" w:type="dxa"/>
            <w:shd w:val="clear" w:color="auto" w:fill="7C9FCF"/>
          </w:tcPr>
          <w:p w:rsidR="004F1FA5" w:rsidRPr="00E01FFF" w:rsidRDefault="004F1FA5" w:rsidP="00E01FFF">
            <w:pPr>
              <w:jc w:val="center"/>
              <w:rPr>
                <w:b/>
                <w:lang w:val="es-ES_tradnl"/>
              </w:rPr>
            </w:pPr>
            <w:r w:rsidRPr="00E01FFF">
              <w:rPr>
                <w:b/>
                <w:lang w:val="es-ES_tradnl"/>
              </w:rPr>
              <w:t xml:space="preserve">Aportaciones </w:t>
            </w:r>
            <w:r w:rsidR="00BD1DC9" w:rsidRPr="00E01FFF">
              <w:rPr>
                <w:b/>
                <w:lang w:val="es-ES_tradnl"/>
              </w:rPr>
              <w:t>CERMI</w:t>
            </w:r>
            <w:r w:rsidR="00BD1DC9" w:rsidRPr="00E01FFF">
              <w:rPr>
                <w:sz w:val="20"/>
                <w:szCs w:val="20"/>
              </w:rPr>
              <w:t xml:space="preserve"> (</w:t>
            </w:r>
            <w:r w:rsidRPr="00E01FFF">
              <w:rPr>
                <w:sz w:val="20"/>
                <w:szCs w:val="20"/>
              </w:rPr>
              <w:t xml:space="preserve">Pág. 162 y </w:t>
            </w:r>
            <w:r w:rsidR="004205B9" w:rsidRPr="00E01FFF">
              <w:rPr>
                <w:sz w:val="20"/>
                <w:szCs w:val="20"/>
              </w:rPr>
              <w:t>ss.</w:t>
            </w:r>
            <w:r w:rsidRPr="00E01FFF">
              <w:rPr>
                <w:sz w:val="20"/>
                <w:szCs w:val="20"/>
              </w:rPr>
              <w:t>)</w:t>
            </w:r>
          </w:p>
        </w:tc>
        <w:tc>
          <w:tcPr>
            <w:tcW w:w="5812" w:type="dxa"/>
            <w:shd w:val="clear" w:color="auto" w:fill="7C9FCF"/>
          </w:tcPr>
          <w:p w:rsidR="004F1FA5" w:rsidRPr="00E01FFF" w:rsidRDefault="004F1FA5" w:rsidP="00E01FFF">
            <w:pPr>
              <w:jc w:val="center"/>
              <w:rPr>
                <w:b/>
                <w:lang w:val="es-ES_tradnl"/>
              </w:rPr>
            </w:pPr>
            <w:r w:rsidRPr="00E01FFF">
              <w:rPr>
                <w:b/>
                <w:lang w:val="es-ES_tradnl"/>
              </w:rPr>
              <w:t>Versión del AdA enviado a CE (22-04-14)</w:t>
            </w:r>
            <w:r w:rsidR="00C14923" w:rsidRPr="00E01FFF">
              <w:rPr>
                <w:b/>
                <w:lang w:val="es-ES_tradnl"/>
              </w:rPr>
              <w:t xml:space="preserve"> </w:t>
            </w:r>
            <w:r w:rsidR="00C14923" w:rsidRPr="00E01FFF">
              <w:rPr>
                <w:sz w:val="20"/>
                <w:szCs w:val="20"/>
              </w:rPr>
              <w:t>(Pág. 183)</w:t>
            </w:r>
          </w:p>
        </w:tc>
      </w:tr>
      <w:tr w:rsidR="004F1FA5" w:rsidTr="00E01FFF">
        <w:trPr>
          <w:trHeight w:val="3670"/>
        </w:trPr>
        <w:tc>
          <w:tcPr>
            <w:tcW w:w="1951" w:type="dxa"/>
          </w:tcPr>
          <w:p w:rsidR="004F1FA5" w:rsidRPr="00E01FFF" w:rsidRDefault="004F1FA5" w:rsidP="00950A9D">
            <w:pPr>
              <w:rPr>
                <w:lang w:val="es-ES_tradnl"/>
              </w:rPr>
            </w:pPr>
          </w:p>
        </w:tc>
        <w:tc>
          <w:tcPr>
            <w:tcW w:w="5812" w:type="dxa"/>
          </w:tcPr>
          <w:p w:rsidR="002E46A2" w:rsidRPr="00E01FFF" w:rsidRDefault="002E46A2" w:rsidP="002E46A2">
            <w:pPr>
              <w:rPr>
                <w:b/>
                <w:color w:val="00B050"/>
                <w:sz w:val="22"/>
                <w:szCs w:val="22"/>
              </w:rPr>
            </w:pPr>
            <w:r w:rsidRPr="00E01FFF">
              <w:rPr>
                <w:b/>
                <w:sz w:val="22"/>
                <w:szCs w:val="22"/>
              </w:rPr>
              <w:t>Nuevo</w:t>
            </w:r>
            <w:r w:rsidRPr="00E01FFF">
              <w:rPr>
                <w:b/>
                <w:color w:val="00B050"/>
                <w:sz w:val="22"/>
                <w:szCs w:val="22"/>
              </w:rPr>
              <w:t>:</w:t>
            </w:r>
            <w:r w:rsidRPr="00E01FFF">
              <w:rPr>
                <w:i/>
                <w:color w:val="00B050"/>
                <w:sz w:val="22"/>
                <w:szCs w:val="22"/>
              </w:rPr>
              <w:t>“La Estrategia Española de Discapacidad 2012-2020, establece una serie de ámbitos de actuación y medidas estratégicas en materia de educación, empleo, sanidad y lucha contra la pobreza, además de establecer la accesibilidad universal como condición previa para la participación en la sociedad y en la economía. Los Fondos EIE contribuirán a hacer efectivas las medidas previstas en cada uno de estos ámbitos:</w:t>
            </w:r>
          </w:p>
          <w:p w:rsidR="002E46A2" w:rsidRPr="00E01FFF" w:rsidRDefault="002E46A2" w:rsidP="00E01FFF">
            <w:pPr>
              <w:pStyle w:val="Bolos"/>
              <w:numPr>
                <w:ilvl w:val="0"/>
                <w:numId w:val="0"/>
              </w:numPr>
              <w:rPr>
                <w:i/>
                <w:color w:val="00B050"/>
                <w:sz w:val="22"/>
                <w:szCs w:val="22"/>
                <w:lang w:val="es-ES"/>
              </w:rPr>
            </w:pPr>
            <w:r w:rsidRPr="00E01FFF">
              <w:rPr>
                <w:i/>
                <w:color w:val="00B050"/>
                <w:sz w:val="22"/>
                <w:szCs w:val="22"/>
                <w:lang w:val="es-ES"/>
              </w:rPr>
              <w:t xml:space="preserve">En materia de </w:t>
            </w:r>
            <w:r w:rsidRPr="00E01FFF">
              <w:rPr>
                <w:i/>
                <w:color w:val="00B050"/>
                <w:sz w:val="22"/>
                <w:szCs w:val="22"/>
                <w:u w:val="single"/>
                <w:lang w:val="es-ES"/>
              </w:rPr>
              <w:t>educación,</w:t>
            </w:r>
            <w:r w:rsidRPr="00E01FFF">
              <w:rPr>
                <w:i/>
                <w:color w:val="00B050"/>
                <w:sz w:val="22"/>
                <w:szCs w:val="22"/>
                <w:lang w:val="es-ES"/>
              </w:rPr>
              <w:t xml:space="preserve"> tal y como establece la Estrategia Española de Discapacidad 2012-2020, se fomentará la incorporación de la accesibilidad y el «diseño para todos» en los planes de estudios educativos y de formación profesional de las profesiones pertinentes, promoviendo la educación inclusiva en todas las etapas educativas, con los medios de apoyo necesarios y apoyando la iniciativa “Juventud en Movimiento”.</w:t>
            </w:r>
          </w:p>
          <w:p w:rsidR="002E46A2" w:rsidRPr="00E01FFF" w:rsidRDefault="002E46A2" w:rsidP="00E01FFF">
            <w:pPr>
              <w:pStyle w:val="Bolos"/>
              <w:numPr>
                <w:ilvl w:val="0"/>
                <w:numId w:val="0"/>
              </w:numPr>
              <w:rPr>
                <w:i/>
                <w:color w:val="00B050"/>
                <w:sz w:val="22"/>
                <w:szCs w:val="22"/>
                <w:lang w:val="es-ES"/>
              </w:rPr>
            </w:pPr>
            <w:r w:rsidRPr="00E01FFF">
              <w:rPr>
                <w:i/>
                <w:color w:val="00B050"/>
                <w:sz w:val="22"/>
                <w:szCs w:val="22"/>
                <w:lang w:val="es-ES"/>
              </w:rPr>
              <w:t xml:space="preserve">Asimismo, en materia de </w:t>
            </w:r>
            <w:r w:rsidRPr="00E01FFF">
              <w:rPr>
                <w:i/>
                <w:color w:val="00B050"/>
                <w:sz w:val="22"/>
                <w:szCs w:val="22"/>
                <w:u w:val="single"/>
                <w:lang w:val="es-ES"/>
              </w:rPr>
              <w:t>empleo</w:t>
            </w:r>
            <w:r w:rsidRPr="00E01FFF">
              <w:rPr>
                <w:i/>
                <w:color w:val="00B050"/>
                <w:sz w:val="22"/>
                <w:szCs w:val="22"/>
                <w:lang w:val="es-ES"/>
              </w:rPr>
              <w:t xml:space="preserve">, dando continuidad a las medidas desarrolladas en el marco del PO de Lucha contra la Discriminación, se promoverá el acceso de las personas con discapacidad al mercado de trabajo mejorando su empleabilidad e integración laboral, con especial atención a las mujeres. </w:t>
            </w:r>
          </w:p>
          <w:p w:rsidR="00A95F0C" w:rsidRPr="00E01FFF" w:rsidRDefault="002E46A2" w:rsidP="00E01FFF">
            <w:pPr>
              <w:pStyle w:val="Bolos"/>
              <w:numPr>
                <w:ilvl w:val="0"/>
                <w:numId w:val="0"/>
              </w:numPr>
              <w:rPr>
                <w:i/>
                <w:color w:val="00B050"/>
                <w:sz w:val="22"/>
                <w:szCs w:val="22"/>
                <w:lang w:val="es-ES"/>
              </w:rPr>
            </w:pPr>
            <w:r w:rsidRPr="00E01FFF">
              <w:rPr>
                <w:i/>
                <w:color w:val="00B050"/>
                <w:sz w:val="22"/>
                <w:szCs w:val="22"/>
                <w:lang w:val="es-ES"/>
              </w:rPr>
              <w:t xml:space="preserve">Del mismo modo, partiendo de un enfoque de </w:t>
            </w:r>
            <w:r w:rsidRPr="00E01FFF">
              <w:rPr>
                <w:i/>
                <w:color w:val="00B050"/>
                <w:sz w:val="22"/>
                <w:szCs w:val="22"/>
                <w:u w:val="single"/>
                <w:lang w:val="es-ES"/>
              </w:rPr>
              <w:t>innovación y emprendimiento social</w:t>
            </w:r>
            <w:r w:rsidRPr="00E01FFF">
              <w:rPr>
                <w:i/>
                <w:color w:val="00B050"/>
                <w:sz w:val="22"/>
                <w:szCs w:val="22"/>
                <w:lang w:val="es-ES"/>
              </w:rPr>
              <w:t xml:space="preserve"> e integración de los distintos objetivos temáticos (I+D+i, Sociedad de la Información, eficiencia baja en </w:t>
            </w:r>
            <w:r w:rsidRPr="00E01FFF">
              <w:rPr>
                <w:i/>
                <w:color w:val="00B050"/>
                <w:sz w:val="22"/>
                <w:szCs w:val="22"/>
                <w:lang w:val="es-ES"/>
              </w:rPr>
              <w:lastRenderedPageBreak/>
              <w:t xml:space="preserve">carbono, PYME), se contribuirá al desarrollo de una nueva economía de la discapacidad, identificando oportunidades de mercado </w:t>
            </w:r>
            <w:r w:rsidRPr="00E01FFF">
              <w:rPr>
                <w:i/>
                <w:sz w:val="22"/>
                <w:szCs w:val="22"/>
                <w:lang w:val="es-ES"/>
              </w:rPr>
              <w:t xml:space="preserve">no </w:t>
            </w:r>
            <w:r w:rsidRPr="00E01FFF">
              <w:rPr>
                <w:i/>
                <w:color w:val="00B050"/>
                <w:sz w:val="22"/>
                <w:szCs w:val="22"/>
                <w:lang w:val="es-ES"/>
              </w:rPr>
              <w:t>cubiertos o con escaso desarrollo, fomentando la conexión y colaboración entre agentes públicos y privados.</w:t>
            </w:r>
          </w:p>
          <w:p w:rsidR="002E46A2" w:rsidRPr="00E01FFF" w:rsidRDefault="002E46A2" w:rsidP="00E01FFF">
            <w:pPr>
              <w:pStyle w:val="Bolos"/>
              <w:numPr>
                <w:ilvl w:val="0"/>
                <w:numId w:val="0"/>
              </w:numPr>
              <w:rPr>
                <w:i/>
                <w:color w:val="00B050"/>
                <w:sz w:val="22"/>
                <w:szCs w:val="22"/>
                <w:lang w:val="es-ES"/>
              </w:rPr>
            </w:pPr>
            <w:r w:rsidRPr="00E01FFF">
              <w:rPr>
                <w:i/>
                <w:color w:val="00B050"/>
                <w:sz w:val="22"/>
                <w:szCs w:val="22"/>
                <w:lang w:val="es-ES"/>
              </w:rPr>
              <w:t xml:space="preserve">En materia de </w:t>
            </w:r>
            <w:r w:rsidRPr="00E01FFF">
              <w:rPr>
                <w:i/>
                <w:color w:val="00B050"/>
                <w:sz w:val="22"/>
                <w:szCs w:val="22"/>
                <w:u w:val="single"/>
                <w:lang w:val="es-ES"/>
              </w:rPr>
              <w:t>sanidad y servicios sociales</w:t>
            </w:r>
            <w:r w:rsidRPr="00E01FFF">
              <w:rPr>
                <w:i/>
                <w:color w:val="00B050"/>
                <w:sz w:val="22"/>
                <w:szCs w:val="22"/>
                <w:lang w:val="es-ES"/>
              </w:rPr>
              <w:t>, en línea con lo establecido en la Estrategia Española se reforzarán los servicios e instalaciones accesibles y no discriminatorias, trascendiendo la perspectiva asistencial y procurando un enfoque multidimensional de la inclusión social y la lucha contra la pobreza.</w:t>
            </w:r>
          </w:p>
          <w:p w:rsidR="004F1FA5" w:rsidRPr="00E01FFF" w:rsidRDefault="002E46A2" w:rsidP="00E01FFF">
            <w:pPr>
              <w:pStyle w:val="Bolos"/>
              <w:numPr>
                <w:ilvl w:val="0"/>
                <w:numId w:val="0"/>
              </w:numPr>
              <w:rPr>
                <w:i/>
                <w:lang w:val="es-ES"/>
              </w:rPr>
            </w:pPr>
            <w:r w:rsidRPr="00E01FFF">
              <w:rPr>
                <w:i/>
                <w:color w:val="00B050"/>
                <w:sz w:val="22"/>
                <w:szCs w:val="22"/>
                <w:lang w:val="es-ES"/>
              </w:rPr>
              <w:t xml:space="preserve">Desde el punto de vista de la </w:t>
            </w:r>
            <w:r w:rsidRPr="00E01FFF">
              <w:rPr>
                <w:i/>
                <w:color w:val="00B050"/>
                <w:sz w:val="22"/>
                <w:szCs w:val="22"/>
                <w:u w:val="single"/>
                <w:lang w:val="es-ES"/>
              </w:rPr>
              <w:t>gobernabilidad</w:t>
            </w:r>
            <w:r w:rsidRPr="00E01FFF">
              <w:rPr>
                <w:i/>
                <w:color w:val="00B050"/>
                <w:sz w:val="22"/>
                <w:szCs w:val="22"/>
                <w:lang w:val="es-ES"/>
              </w:rPr>
              <w:t>, y con el fin de velar por la transversalización del objetivo horizontal de accesibilidad y la incorporación de estas orientaciones y objetivos a las actuaciones desarrolladas en el marco de la programación de los Fondos EIE 2014-2020, se prevé la participación de la entidad más representativa de las personas con discapacidad en los Comités de Seguimiento de los Programas Operativos.</w:t>
            </w:r>
            <w:r w:rsidRPr="00E01FFF">
              <w:rPr>
                <w:i/>
                <w:color w:val="00B050"/>
                <w:sz w:val="22"/>
                <w:szCs w:val="22"/>
                <w:lang w:val="es-ES_tradnl"/>
              </w:rPr>
              <w:t>”</w:t>
            </w:r>
          </w:p>
        </w:tc>
        <w:tc>
          <w:tcPr>
            <w:tcW w:w="5812" w:type="dxa"/>
          </w:tcPr>
          <w:p w:rsidR="00A95F0C" w:rsidRPr="00E01FFF" w:rsidRDefault="00A95F0C" w:rsidP="00E01FFF">
            <w:pPr>
              <w:autoSpaceDE w:val="0"/>
              <w:autoSpaceDN w:val="0"/>
              <w:adjustRightInd w:val="0"/>
              <w:spacing w:before="0" w:after="0"/>
              <w:jc w:val="left"/>
              <w:rPr>
                <w:rFonts w:ascii="Arial" w:eastAsia="Calibri" w:hAnsi="Arial" w:cs="Arial"/>
                <w:color w:val="000000"/>
                <w:sz w:val="20"/>
                <w:szCs w:val="20"/>
              </w:rPr>
            </w:pPr>
          </w:p>
          <w:p w:rsidR="00C14923" w:rsidRPr="00E01FFF" w:rsidRDefault="00950A9D" w:rsidP="00E01FFF">
            <w:pPr>
              <w:autoSpaceDE w:val="0"/>
              <w:autoSpaceDN w:val="0"/>
              <w:adjustRightInd w:val="0"/>
              <w:spacing w:before="0" w:after="0"/>
              <w:jc w:val="left"/>
              <w:rPr>
                <w:rFonts w:eastAsia="Calibri" w:cs="Arial"/>
                <w:color w:val="000000"/>
                <w:sz w:val="20"/>
                <w:szCs w:val="20"/>
              </w:rPr>
            </w:pPr>
            <w:r w:rsidRPr="00E01FFF">
              <w:rPr>
                <w:rFonts w:eastAsia="Calibri" w:cs="Arial"/>
                <w:color w:val="000000"/>
                <w:sz w:val="20"/>
                <w:szCs w:val="20"/>
              </w:rPr>
              <w:t xml:space="preserve">(..... segundo </w:t>
            </w:r>
            <w:r w:rsidR="004205B9" w:rsidRPr="00E01FFF">
              <w:rPr>
                <w:rFonts w:eastAsia="Calibri" w:cs="Arial"/>
                <w:color w:val="000000"/>
                <w:sz w:val="20"/>
                <w:szCs w:val="20"/>
              </w:rPr>
              <w:t>párrafo</w:t>
            </w:r>
            <w:r w:rsidR="00C14923" w:rsidRPr="00E01FFF">
              <w:rPr>
                <w:rFonts w:eastAsia="Calibri" w:cs="Arial"/>
                <w:color w:val="000000"/>
                <w:sz w:val="20"/>
                <w:szCs w:val="20"/>
              </w:rPr>
              <w:t>)</w:t>
            </w:r>
          </w:p>
          <w:p w:rsidR="00C14923" w:rsidRPr="00E01FFF" w:rsidRDefault="00C14923" w:rsidP="00E01FFF">
            <w:pPr>
              <w:autoSpaceDE w:val="0"/>
              <w:autoSpaceDN w:val="0"/>
              <w:adjustRightInd w:val="0"/>
              <w:spacing w:before="0" w:after="0"/>
              <w:jc w:val="left"/>
              <w:rPr>
                <w:rFonts w:eastAsia="Calibri" w:cs="TTFE62D370t00"/>
                <w:color w:val="000000"/>
                <w:sz w:val="22"/>
                <w:szCs w:val="22"/>
              </w:rPr>
            </w:pPr>
          </w:p>
          <w:p w:rsidR="00C14923" w:rsidRPr="00E01FFF" w:rsidRDefault="00C14923" w:rsidP="00E01FFF">
            <w:pPr>
              <w:autoSpaceDE w:val="0"/>
              <w:autoSpaceDN w:val="0"/>
              <w:adjustRightInd w:val="0"/>
              <w:spacing w:before="0" w:after="0"/>
              <w:rPr>
                <w:rFonts w:eastAsia="Calibri" w:cs="TTFE62D370t00"/>
                <w:color w:val="000000"/>
                <w:sz w:val="22"/>
                <w:szCs w:val="22"/>
              </w:rPr>
            </w:pPr>
          </w:p>
          <w:p w:rsidR="00C14923" w:rsidRPr="00E01FFF" w:rsidRDefault="00C14923" w:rsidP="00E01FFF">
            <w:pPr>
              <w:autoSpaceDE w:val="0"/>
              <w:autoSpaceDN w:val="0"/>
              <w:adjustRightInd w:val="0"/>
              <w:spacing w:before="0" w:after="0"/>
              <w:rPr>
                <w:rFonts w:eastAsia="Calibri" w:cs="TTFE62D370t00"/>
                <w:b/>
                <w:sz w:val="22"/>
                <w:szCs w:val="22"/>
              </w:rPr>
            </w:pPr>
            <w:r w:rsidRPr="00E01FFF">
              <w:rPr>
                <w:rFonts w:eastAsia="Calibri" w:cs="TTFE62D370t00"/>
                <w:b/>
                <w:sz w:val="22"/>
                <w:szCs w:val="22"/>
              </w:rPr>
              <w:t xml:space="preserve">En materia de </w:t>
            </w:r>
            <w:r w:rsidRPr="00E01FFF">
              <w:rPr>
                <w:rFonts w:eastAsia="Calibri" w:cs="TTFE62D370t00"/>
                <w:b/>
                <w:sz w:val="22"/>
                <w:szCs w:val="22"/>
                <w:u w:val="single"/>
              </w:rPr>
              <w:t>educación</w:t>
            </w:r>
            <w:r w:rsidRPr="00E01FFF">
              <w:rPr>
                <w:rFonts w:eastAsia="Calibri" w:cs="TTFE62D370t00"/>
                <w:b/>
                <w:sz w:val="22"/>
                <w:szCs w:val="22"/>
              </w:rPr>
              <w:t>, tal y como establece la EED, se fomentará la incorporación de la accesibilidad y el “diseño para todos” en los planes de estudios educativos y de formación profesional de las profesiones pertinentes, promoviendo la educación inclusiva en todas las etapas, apoyando la iniciativa “Juventud en Movimiento”.</w:t>
            </w:r>
          </w:p>
          <w:p w:rsidR="00C14923" w:rsidRPr="00E01FFF" w:rsidRDefault="00C14923" w:rsidP="00E01FFF">
            <w:pPr>
              <w:autoSpaceDE w:val="0"/>
              <w:autoSpaceDN w:val="0"/>
              <w:adjustRightInd w:val="0"/>
              <w:spacing w:before="0" w:after="0"/>
              <w:jc w:val="left"/>
              <w:rPr>
                <w:rFonts w:eastAsia="Calibri" w:cs="TTFE62D370t00"/>
                <w:color w:val="000000"/>
                <w:sz w:val="22"/>
                <w:szCs w:val="22"/>
              </w:rPr>
            </w:pPr>
          </w:p>
          <w:p w:rsidR="00C14923" w:rsidRPr="00E01FFF" w:rsidRDefault="00A95F0C" w:rsidP="00E01FFF">
            <w:pPr>
              <w:autoSpaceDE w:val="0"/>
              <w:autoSpaceDN w:val="0"/>
              <w:adjustRightInd w:val="0"/>
              <w:spacing w:before="0" w:after="0"/>
              <w:jc w:val="left"/>
              <w:rPr>
                <w:rFonts w:eastAsia="Calibri" w:cs="TTFE62D370t00"/>
                <w:color w:val="000000"/>
                <w:sz w:val="20"/>
                <w:szCs w:val="20"/>
              </w:rPr>
            </w:pPr>
            <w:r w:rsidRPr="00E01FFF">
              <w:rPr>
                <w:rFonts w:eastAsia="Calibri" w:cs="TTFE62D370t00"/>
                <w:color w:val="000000"/>
                <w:sz w:val="20"/>
                <w:szCs w:val="20"/>
              </w:rPr>
              <w:t>(....</w:t>
            </w:r>
            <w:r w:rsidR="00C14923" w:rsidRPr="00E01FFF">
              <w:rPr>
                <w:rFonts w:eastAsia="Calibri" w:cs="TTFE62D370t00"/>
                <w:color w:val="000000"/>
                <w:sz w:val="20"/>
                <w:szCs w:val="20"/>
              </w:rPr>
              <w:t xml:space="preserve">misma </w:t>
            </w:r>
            <w:r w:rsidR="004205B9" w:rsidRPr="00E01FFF">
              <w:rPr>
                <w:rFonts w:eastAsia="Calibri" w:cs="TTFE62D370t00"/>
                <w:color w:val="000000"/>
                <w:sz w:val="20"/>
                <w:szCs w:val="20"/>
              </w:rPr>
              <w:t>página</w:t>
            </w:r>
            <w:r w:rsidR="00C14923" w:rsidRPr="00E01FFF">
              <w:rPr>
                <w:rFonts w:eastAsia="Calibri" w:cs="TTFE62D370t00"/>
                <w:color w:val="000000"/>
                <w:sz w:val="20"/>
                <w:szCs w:val="20"/>
              </w:rPr>
              <w:t xml:space="preserve"> últimos párrafos)</w:t>
            </w:r>
          </w:p>
          <w:p w:rsidR="00C14923" w:rsidRPr="00E01FFF" w:rsidRDefault="00C14923" w:rsidP="00E01FFF">
            <w:pPr>
              <w:autoSpaceDE w:val="0"/>
              <w:autoSpaceDN w:val="0"/>
              <w:adjustRightInd w:val="0"/>
              <w:spacing w:before="0" w:after="0"/>
              <w:jc w:val="left"/>
              <w:rPr>
                <w:rFonts w:eastAsia="Calibri" w:cs="TTFE62D370t00"/>
                <w:color w:val="000000"/>
                <w:sz w:val="22"/>
                <w:szCs w:val="22"/>
              </w:rPr>
            </w:pPr>
          </w:p>
          <w:p w:rsidR="00415A31" w:rsidRPr="00E01FFF" w:rsidRDefault="00415A31" w:rsidP="00E01FFF">
            <w:pPr>
              <w:autoSpaceDE w:val="0"/>
              <w:autoSpaceDN w:val="0"/>
              <w:adjustRightInd w:val="0"/>
              <w:spacing w:before="0" w:after="0"/>
              <w:rPr>
                <w:rFonts w:eastAsia="Calibri" w:cs="TTFE62D370t00"/>
                <w:b/>
                <w:sz w:val="22"/>
                <w:szCs w:val="22"/>
              </w:rPr>
            </w:pPr>
            <w:r w:rsidRPr="00E01FFF">
              <w:rPr>
                <w:rFonts w:eastAsia="Calibri" w:cs="TTFE62D370t00"/>
                <w:b/>
                <w:sz w:val="22"/>
                <w:szCs w:val="22"/>
              </w:rPr>
              <w:t xml:space="preserve">En materia de </w:t>
            </w:r>
            <w:r w:rsidRPr="00E01FFF">
              <w:rPr>
                <w:rFonts w:eastAsia="Calibri" w:cs="TTFE62D370t00"/>
                <w:b/>
                <w:sz w:val="22"/>
                <w:szCs w:val="22"/>
                <w:u w:val="single"/>
              </w:rPr>
              <w:t>empleo</w:t>
            </w:r>
            <w:r w:rsidRPr="00E01FFF">
              <w:rPr>
                <w:rFonts w:eastAsia="Calibri" w:cs="TTFE62D370t00"/>
                <w:b/>
                <w:sz w:val="22"/>
                <w:szCs w:val="22"/>
              </w:rPr>
              <w:t>, dando continuidad a las medidas desarrolladas en el marco del PO de Lucha</w:t>
            </w:r>
            <w:r w:rsidR="00C14923" w:rsidRPr="00E01FFF">
              <w:rPr>
                <w:rFonts w:eastAsia="Calibri" w:cs="TTFE62D370t00"/>
                <w:b/>
                <w:sz w:val="22"/>
                <w:szCs w:val="22"/>
              </w:rPr>
              <w:t xml:space="preserve"> </w:t>
            </w:r>
            <w:r w:rsidRPr="00E01FFF">
              <w:rPr>
                <w:rFonts w:eastAsia="Calibri" w:cs="TTFE62D370t00"/>
                <w:b/>
                <w:sz w:val="22"/>
                <w:szCs w:val="22"/>
              </w:rPr>
              <w:t>contra la discriminación, se promoverá el acceso de las personas con disc</w:t>
            </w:r>
            <w:r w:rsidR="00C14923" w:rsidRPr="00E01FFF">
              <w:rPr>
                <w:rFonts w:eastAsia="Calibri" w:cs="TTFE62D370t00"/>
                <w:b/>
                <w:sz w:val="22"/>
                <w:szCs w:val="22"/>
              </w:rPr>
              <w:t xml:space="preserve">apacidad al mercado de trabajo, mejorando su </w:t>
            </w:r>
            <w:r w:rsidRPr="00E01FFF">
              <w:rPr>
                <w:rFonts w:eastAsia="Calibri" w:cs="TTFE62D370t00"/>
                <w:b/>
                <w:sz w:val="22"/>
                <w:szCs w:val="22"/>
              </w:rPr>
              <w:t>empleabilidad e integración laboral, con especial atención a las mujeres.</w:t>
            </w:r>
          </w:p>
          <w:p w:rsidR="00415A31" w:rsidRPr="00E01FFF" w:rsidRDefault="00415A31" w:rsidP="00E01FFF">
            <w:pPr>
              <w:autoSpaceDE w:val="0"/>
              <w:autoSpaceDN w:val="0"/>
              <w:adjustRightInd w:val="0"/>
              <w:spacing w:before="0" w:after="0"/>
              <w:rPr>
                <w:rFonts w:eastAsia="Calibri" w:cs="TTFE62D370t00"/>
                <w:b/>
                <w:color w:val="000000"/>
                <w:sz w:val="22"/>
                <w:szCs w:val="22"/>
              </w:rPr>
            </w:pPr>
          </w:p>
          <w:p w:rsidR="00415A31" w:rsidRPr="00E01FFF" w:rsidRDefault="00415A31" w:rsidP="00E01FFF">
            <w:pPr>
              <w:autoSpaceDE w:val="0"/>
              <w:autoSpaceDN w:val="0"/>
              <w:adjustRightInd w:val="0"/>
              <w:spacing w:before="0" w:after="0"/>
              <w:rPr>
                <w:rFonts w:eastAsia="Calibri" w:cs="TTFE62D370t00"/>
                <w:b/>
                <w:color w:val="000000"/>
                <w:sz w:val="22"/>
                <w:szCs w:val="22"/>
              </w:rPr>
            </w:pPr>
            <w:r w:rsidRPr="00E01FFF">
              <w:rPr>
                <w:rFonts w:eastAsia="Calibri" w:cs="TTFE62D370t00"/>
                <w:b/>
                <w:color w:val="000000"/>
                <w:sz w:val="22"/>
                <w:szCs w:val="22"/>
              </w:rPr>
              <w:t xml:space="preserve">Del mismo modo, partiendo de un enfoque de </w:t>
            </w:r>
            <w:r w:rsidRPr="00E01FFF">
              <w:rPr>
                <w:rFonts w:eastAsia="Calibri" w:cs="TTFE62D370t00"/>
                <w:b/>
                <w:sz w:val="22"/>
                <w:szCs w:val="22"/>
                <w:u w:val="single"/>
              </w:rPr>
              <w:t>innovación y emprendimiento social</w:t>
            </w:r>
            <w:r w:rsidR="00C14923" w:rsidRPr="00E01FFF">
              <w:rPr>
                <w:rFonts w:eastAsia="Calibri" w:cs="TTFE62D370t00"/>
                <w:b/>
                <w:sz w:val="22"/>
                <w:szCs w:val="22"/>
              </w:rPr>
              <w:t>,</w:t>
            </w:r>
            <w:r w:rsidR="00C14923" w:rsidRPr="00E01FFF">
              <w:rPr>
                <w:rFonts w:eastAsia="Calibri" w:cs="TTFE62D370t00"/>
                <w:b/>
                <w:color w:val="000000"/>
                <w:sz w:val="22"/>
                <w:szCs w:val="22"/>
              </w:rPr>
              <w:t xml:space="preserve"> se </w:t>
            </w:r>
            <w:r w:rsidRPr="00E01FFF">
              <w:rPr>
                <w:rFonts w:eastAsia="Calibri" w:cs="TTFE62D370t00"/>
                <w:b/>
                <w:color w:val="000000"/>
                <w:sz w:val="22"/>
                <w:szCs w:val="22"/>
              </w:rPr>
              <w:t>contribuirá al desarrollo de una nueva economía de la discapacidad, identificando oportunidades de mercado con escaso o nulo desarrollo, fomentando la conexión y colaboración entre agentes públicos y privados.</w:t>
            </w:r>
          </w:p>
          <w:p w:rsidR="00415A31" w:rsidRPr="00E01FFF" w:rsidRDefault="00415A31" w:rsidP="00E01FFF">
            <w:pPr>
              <w:autoSpaceDE w:val="0"/>
              <w:autoSpaceDN w:val="0"/>
              <w:adjustRightInd w:val="0"/>
              <w:spacing w:before="0" w:after="0"/>
              <w:rPr>
                <w:rFonts w:eastAsia="Calibri" w:cs="TTFE62D370t00"/>
                <w:color w:val="000000"/>
                <w:sz w:val="22"/>
                <w:szCs w:val="22"/>
              </w:rPr>
            </w:pPr>
          </w:p>
          <w:p w:rsidR="00415A31" w:rsidRPr="00E01FFF" w:rsidRDefault="00415A31" w:rsidP="00E01FFF">
            <w:pPr>
              <w:autoSpaceDE w:val="0"/>
              <w:autoSpaceDN w:val="0"/>
              <w:adjustRightInd w:val="0"/>
              <w:spacing w:before="0" w:after="0"/>
              <w:rPr>
                <w:rFonts w:eastAsia="Calibri" w:cs="TTFE62D370t00"/>
                <w:b/>
                <w:color w:val="000000"/>
                <w:sz w:val="22"/>
                <w:szCs w:val="22"/>
              </w:rPr>
            </w:pPr>
            <w:r w:rsidRPr="00E01FFF">
              <w:rPr>
                <w:rFonts w:eastAsia="Calibri" w:cs="TTFE62D370t00"/>
                <w:b/>
                <w:color w:val="000000"/>
                <w:sz w:val="22"/>
                <w:szCs w:val="22"/>
              </w:rPr>
              <w:t xml:space="preserve">En materia de </w:t>
            </w:r>
            <w:r w:rsidRPr="00E01FFF">
              <w:rPr>
                <w:rFonts w:eastAsia="Calibri" w:cs="TTFE62D370t00"/>
                <w:b/>
                <w:sz w:val="22"/>
                <w:szCs w:val="22"/>
                <w:u w:val="single"/>
              </w:rPr>
              <w:t>sanidad y servicios sociales</w:t>
            </w:r>
            <w:r w:rsidRPr="00E01FFF">
              <w:rPr>
                <w:rFonts w:eastAsia="Calibri" w:cs="TTFE62D370t00"/>
                <w:b/>
                <w:color w:val="000000"/>
                <w:sz w:val="22"/>
                <w:szCs w:val="22"/>
              </w:rPr>
              <w:t xml:space="preserve">, en línea con la EED, se reforzarán los servicios e instalaciones accesibles y no </w:t>
            </w:r>
            <w:r w:rsidRPr="00E01FFF">
              <w:rPr>
                <w:rFonts w:eastAsia="Calibri" w:cs="TTFE62D370t00"/>
                <w:b/>
                <w:color w:val="000000"/>
                <w:sz w:val="22"/>
                <w:szCs w:val="22"/>
              </w:rPr>
              <w:lastRenderedPageBreak/>
              <w:t>discriminatorias, trascendiendo la perspectiva asistencial y procurando un enfoque</w:t>
            </w:r>
            <w:r w:rsidR="00C14923" w:rsidRPr="00E01FFF">
              <w:rPr>
                <w:rFonts w:eastAsia="Calibri" w:cs="TTFE62D370t00"/>
                <w:b/>
                <w:color w:val="000000"/>
                <w:sz w:val="22"/>
                <w:szCs w:val="22"/>
              </w:rPr>
              <w:t xml:space="preserve"> </w:t>
            </w:r>
            <w:r w:rsidRPr="00E01FFF">
              <w:rPr>
                <w:rFonts w:eastAsia="Calibri" w:cs="TTFE62D370t00"/>
                <w:b/>
                <w:color w:val="000000"/>
                <w:sz w:val="22"/>
                <w:szCs w:val="22"/>
              </w:rPr>
              <w:t>multidimensional de la inclusión social y la lucha contra la pobreza.</w:t>
            </w:r>
          </w:p>
          <w:p w:rsidR="00C14923" w:rsidRPr="00E01FFF" w:rsidRDefault="00C14923" w:rsidP="00E01FFF">
            <w:pPr>
              <w:autoSpaceDE w:val="0"/>
              <w:autoSpaceDN w:val="0"/>
              <w:adjustRightInd w:val="0"/>
              <w:spacing w:before="0" w:after="0"/>
              <w:rPr>
                <w:rFonts w:eastAsia="Calibri" w:cs="TTFE62D370t00"/>
                <w:color w:val="000000"/>
                <w:sz w:val="22"/>
                <w:szCs w:val="22"/>
              </w:rPr>
            </w:pPr>
          </w:p>
          <w:p w:rsidR="004F1FA5" w:rsidRPr="00E01FFF" w:rsidRDefault="00415A31" w:rsidP="00E01FFF">
            <w:pPr>
              <w:autoSpaceDE w:val="0"/>
              <w:autoSpaceDN w:val="0"/>
              <w:adjustRightInd w:val="0"/>
              <w:spacing w:before="0" w:after="0"/>
              <w:rPr>
                <w:rFonts w:eastAsia="Calibri" w:cs="TTFE62D370t00"/>
                <w:b/>
                <w:color w:val="000000"/>
                <w:sz w:val="22"/>
                <w:szCs w:val="22"/>
              </w:rPr>
            </w:pPr>
            <w:r w:rsidRPr="00E01FFF">
              <w:rPr>
                <w:rFonts w:eastAsia="Calibri" w:cs="TTFE62D370t00"/>
                <w:b/>
                <w:color w:val="000000"/>
                <w:sz w:val="22"/>
                <w:szCs w:val="22"/>
              </w:rPr>
              <w:t xml:space="preserve">Desde el punto de vista de </w:t>
            </w:r>
            <w:r w:rsidRPr="00E01FFF">
              <w:rPr>
                <w:rFonts w:eastAsia="Calibri" w:cs="TTFE62D370t00"/>
                <w:b/>
                <w:color w:val="000000"/>
                <w:sz w:val="22"/>
                <w:szCs w:val="22"/>
                <w:u w:val="single"/>
              </w:rPr>
              <w:t xml:space="preserve">la </w:t>
            </w:r>
            <w:r w:rsidRPr="00E01FFF">
              <w:rPr>
                <w:rFonts w:eastAsia="Calibri" w:cs="TTFE62D370t00"/>
                <w:b/>
                <w:sz w:val="22"/>
                <w:szCs w:val="22"/>
                <w:u w:val="single"/>
              </w:rPr>
              <w:t>gobernanza</w:t>
            </w:r>
            <w:r w:rsidRPr="00E01FFF">
              <w:rPr>
                <w:rFonts w:eastAsia="Calibri" w:cs="TTFE62D370t00"/>
                <w:b/>
                <w:sz w:val="22"/>
                <w:szCs w:val="22"/>
              </w:rPr>
              <w:t>,</w:t>
            </w:r>
            <w:r w:rsidRPr="00E01FFF">
              <w:rPr>
                <w:rFonts w:eastAsia="Calibri" w:cs="TTFE62D370t00"/>
                <w:b/>
                <w:color w:val="000000"/>
                <w:sz w:val="22"/>
                <w:szCs w:val="22"/>
              </w:rPr>
              <w:t xml:space="preserve"> y con el fin de velar por la transversalización del objetivo</w:t>
            </w:r>
            <w:r w:rsidR="00C14923" w:rsidRPr="00E01FFF">
              <w:rPr>
                <w:rFonts w:eastAsia="Calibri" w:cs="TTFE62D370t00"/>
                <w:b/>
                <w:color w:val="000000"/>
                <w:sz w:val="22"/>
                <w:szCs w:val="22"/>
              </w:rPr>
              <w:t xml:space="preserve"> </w:t>
            </w:r>
            <w:r w:rsidRPr="00E01FFF">
              <w:rPr>
                <w:rFonts w:eastAsia="Calibri" w:cs="TTFE62D370t00"/>
                <w:b/>
                <w:color w:val="000000"/>
                <w:sz w:val="22"/>
                <w:szCs w:val="22"/>
              </w:rPr>
              <w:t>horizontal de accesibilidad y la incorporación de estas orientaciones y objetivos a las actuaciones</w:t>
            </w:r>
            <w:r w:rsidR="00C14923" w:rsidRPr="00E01FFF">
              <w:rPr>
                <w:rFonts w:eastAsia="Calibri" w:cs="TTFE62D370t00"/>
                <w:b/>
                <w:color w:val="000000"/>
                <w:sz w:val="22"/>
                <w:szCs w:val="22"/>
              </w:rPr>
              <w:t xml:space="preserve"> </w:t>
            </w:r>
            <w:r w:rsidRPr="00E01FFF">
              <w:rPr>
                <w:rFonts w:eastAsia="Calibri" w:cs="TTFE62D370t00"/>
                <w:b/>
                <w:color w:val="000000"/>
                <w:sz w:val="22"/>
                <w:szCs w:val="22"/>
              </w:rPr>
              <w:t>desarrolladas en el marco de la programación de los Fondos EIE, se prevé la participación de la entidad</w:t>
            </w:r>
            <w:r w:rsidR="00C14923" w:rsidRPr="00E01FFF">
              <w:rPr>
                <w:rFonts w:eastAsia="Calibri" w:cs="TTFE62D370t00"/>
                <w:b/>
                <w:color w:val="000000"/>
                <w:sz w:val="22"/>
                <w:szCs w:val="22"/>
              </w:rPr>
              <w:t xml:space="preserve"> </w:t>
            </w:r>
            <w:r w:rsidRPr="00E01FFF">
              <w:rPr>
                <w:rFonts w:eastAsia="Calibri" w:cs="TTFE62D370t00"/>
                <w:b/>
                <w:color w:val="000000"/>
                <w:sz w:val="22"/>
                <w:szCs w:val="22"/>
              </w:rPr>
              <w:t>más representativa de las personas con discapacidad y sus familias en la fase de ejecución de los</w:t>
            </w:r>
            <w:r w:rsidR="00C14923" w:rsidRPr="00E01FFF">
              <w:rPr>
                <w:rFonts w:eastAsia="Calibri" w:cs="TTFE62D370t00"/>
                <w:b/>
                <w:color w:val="000000"/>
                <w:sz w:val="22"/>
                <w:szCs w:val="22"/>
              </w:rPr>
              <w:t xml:space="preserve"> </w:t>
            </w:r>
            <w:r w:rsidRPr="00E01FFF">
              <w:rPr>
                <w:rFonts w:eastAsia="Calibri" w:cs="TTFE62D370t00"/>
                <w:b/>
                <w:color w:val="000000"/>
                <w:sz w:val="22"/>
                <w:szCs w:val="22"/>
              </w:rPr>
              <w:t>programas afines.</w:t>
            </w:r>
          </w:p>
        </w:tc>
      </w:tr>
    </w:tbl>
    <w:p w:rsidR="004838E2" w:rsidRDefault="004838E2" w:rsidP="004F1FA5">
      <w:pPr>
        <w:rPr>
          <w:b/>
          <w:lang w:val="es-ES_tradnl"/>
        </w:rPr>
      </w:pPr>
    </w:p>
    <w:p w:rsidR="004F1FA5" w:rsidRPr="002E46A2" w:rsidRDefault="002E46A2" w:rsidP="004F1FA5">
      <w:pPr>
        <w:rPr>
          <w:b/>
          <w:lang w:val="es-ES_tradnl"/>
        </w:rPr>
      </w:pPr>
      <w:r w:rsidRPr="002E46A2">
        <w:rPr>
          <w:b/>
          <w:lang w:val="es-ES_tradnl"/>
        </w:rPr>
        <w:t xml:space="preserve">Comentario: </w:t>
      </w:r>
    </w:p>
    <w:p w:rsidR="006630AD" w:rsidRPr="00415A31" w:rsidRDefault="006630AD" w:rsidP="006630AD">
      <w:r>
        <w:t>L</w:t>
      </w:r>
      <w:r w:rsidR="00A4560E">
        <w:t>as contribuciones</w:t>
      </w:r>
      <w:r>
        <w:t xml:space="preserve"> en este apartado se orientan a aportar una información más equilibrada sobre cómo se hará efectivo el principio horizontal de la accesibilidad entre los distintos ámbitos de actuación de los Fondos EIE.</w:t>
      </w:r>
      <w:r w:rsidR="00415A31">
        <w:t xml:space="preserve"> </w:t>
      </w:r>
      <w:r w:rsidR="004205B9">
        <w:t>En este sentido, damos la bienvenida y considerábamos adecuado el tratamiento en materia de I+D+i y transporte</w:t>
      </w:r>
      <w:r w:rsidR="007E5FD3">
        <w:t>,</w:t>
      </w:r>
      <w:r w:rsidR="004205B9">
        <w:t xml:space="preserve"> pero</w:t>
      </w:r>
      <w:r w:rsidR="007E5FD3">
        <w:t xml:space="preserve"> </w:t>
      </w:r>
      <w:r w:rsidR="00BD1DC9">
        <w:t>entendíamos</w:t>
      </w:r>
      <w:r w:rsidR="004205B9">
        <w:t xml:space="preserve"> necesario</w:t>
      </w:r>
      <w:r w:rsidR="007E5FD3">
        <w:t>,</w:t>
      </w:r>
      <w:r w:rsidR="004205B9">
        <w:t xml:space="preserve"> ampliar la información respecto a otros ámbitos como </w:t>
      </w:r>
      <w:r w:rsidR="004205B9" w:rsidRPr="00A4560E">
        <w:rPr>
          <w:b/>
        </w:rPr>
        <w:t>el empleo, la educación y los servicios sociales</w:t>
      </w:r>
      <w:r w:rsidR="004205B9">
        <w:rPr>
          <w:b/>
        </w:rPr>
        <w:t xml:space="preserve">, </w:t>
      </w:r>
      <w:r w:rsidR="004205B9" w:rsidRPr="00415A31">
        <w:t xml:space="preserve">tal y como ha quedado redactado en la versión </w:t>
      </w:r>
      <w:r w:rsidR="007E5FD3">
        <w:t>r</w:t>
      </w:r>
      <w:r w:rsidR="004205B9" w:rsidRPr="00415A31">
        <w:t>emi</w:t>
      </w:r>
      <w:r w:rsidR="004205B9">
        <w:t>ti</w:t>
      </w:r>
      <w:r w:rsidR="004205B9" w:rsidRPr="00415A31">
        <w:t>da a la CE</w:t>
      </w:r>
      <w:r w:rsidR="0032723C">
        <w:t xml:space="preserve"> y que antes no se contemplaba (limitándose solo a I+D+i y al transporte)</w:t>
      </w:r>
      <w:r w:rsidR="004205B9" w:rsidRPr="00415A31">
        <w:t xml:space="preserve">. </w:t>
      </w:r>
      <w:r w:rsidR="0032723C">
        <w:t xml:space="preserve">Además, se hace referencia expresa a dar continuidad a las acciones del Programa Operativo de Lucha contra la Discriminación para el empleo y la mejora de la empleabilidad de PcD. </w:t>
      </w:r>
    </w:p>
    <w:sectPr w:rsidR="006630AD" w:rsidRPr="00415A31" w:rsidSect="00BA2F55">
      <w:headerReference w:type="default" r:id="rId14"/>
      <w:footerReference w:type="default" r:id="rId15"/>
      <w:pgSz w:w="16840" w:h="11907" w:orient="landscape" w:code="9"/>
      <w:pgMar w:top="1418" w:right="1418" w:bottom="1418" w:left="1418" w:header="561" w:footer="431" w:gutter="284"/>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D52" w:rsidRDefault="00C91D52" w:rsidP="006630AD">
      <w:pPr>
        <w:spacing w:before="0" w:after="0"/>
      </w:pPr>
      <w:r>
        <w:separator/>
      </w:r>
    </w:p>
  </w:endnote>
  <w:endnote w:type="continuationSeparator" w:id="1">
    <w:p w:rsidR="00C91D52" w:rsidRDefault="00C91D52" w:rsidP="006630A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TFE62D37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TFE62B2C0t00">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EB" w:rsidRDefault="00934F06">
    <w:pPr>
      <w:pStyle w:val="Piedepgina"/>
      <w:jc w:val="right"/>
    </w:pPr>
    <w:fldSimple w:instr=" PAGE   \* MERGEFORMAT ">
      <w:r w:rsidR="00CF5402">
        <w:rPr>
          <w:noProof/>
        </w:rPr>
        <w:t>8</w:t>
      </w:r>
    </w:fldSimple>
  </w:p>
  <w:p w:rsidR="00694BEB" w:rsidRDefault="00694B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D52" w:rsidRDefault="00C91D52" w:rsidP="006630AD">
      <w:pPr>
        <w:spacing w:before="0" w:after="0"/>
      </w:pPr>
      <w:r>
        <w:separator/>
      </w:r>
    </w:p>
  </w:footnote>
  <w:footnote w:type="continuationSeparator" w:id="1">
    <w:p w:rsidR="00C91D52" w:rsidRDefault="00C91D52" w:rsidP="006630A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EB" w:rsidRDefault="00694BEB" w:rsidP="00340550">
    <w:pPr>
      <w:pStyle w:val="Encabezado"/>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77D85"/>
    <w:multiLevelType w:val="hybridMultilevel"/>
    <w:tmpl w:val="732011A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843148"/>
    <w:multiLevelType w:val="hybridMultilevel"/>
    <w:tmpl w:val="37147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E625ED"/>
    <w:multiLevelType w:val="hybridMultilevel"/>
    <w:tmpl w:val="7988D42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912305C"/>
    <w:multiLevelType w:val="hybridMultilevel"/>
    <w:tmpl w:val="E4AC1DBE"/>
    <w:lvl w:ilvl="0" w:tplc="1F929A3E">
      <w:numFmt w:val="bullet"/>
      <w:lvlText w:val="-"/>
      <w:lvlJc w:val="left"/>
      <w:pPr>
        <w:ind w:left="720" w:hanging="360"/>
      </w:pPr>
      <w:rPr>
        <w:rFonts w:ascii="Arial Narrow" w:eastAsia="Calibri" w:hAnsi="Arial Narrow" w:cs="TTFE62D370t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1748F2"/>
    <w:multiLevelType w:val="hybridMultilevel"/>
    <w:tmpl w:val="A39AE402"/>
    <w:lvl w:ilvl="0" w:tplc="7604D4F6">
      <w:start w:val="1"/>
      <w:numFmt w:val="bullet"/>
      <w:pStyle w:val="Bolos"/>
      <w:lvlText w:val="◙"/>
      <w:lvlJc w:val="left"/>
      <w:pPr>
        <w:ind w:left="360" w:hanging="360"/>
      </w:pPr>
      <w:rPr>
        <w:rFonts w:ascii="Arial Narrow" w:hAnsi="Arial Narrow" w:hint="default"/>
        <w:color w:val="6798C1"/>
      </w:rPr>
    </w:lvl>
    <w:lvl w:ilvl="1" w:tplc="7158A66E">
      <w:start w:val="1"/>
      <w:numFmt w:val="bullet"/>
      <w:lvlText w:val="o"/>
      <w:lvlJc w:val="left"/>
      <w:pPr>
        <w:tabs>
          <w:tab w:val="num" w:pos="1440"/>
        </w:tabs>
        <w:ind w:left="1440" w:hanging="360"/>
      </w:pPr>
      <w:rPr>
        <w:rFonts w:ascii="Courier New" w:hAnsi="Courier New" w:hint="default"/>
        <w:color w:val="6798C1"/>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AB43F34"/>
    <w:multiLevelType w:val="hybridMultilevel"/>
    <w:tmpl w:val="EDDC963C"/>
    <w:lvl w:ilvl="0" w:tplc="F0D27028">
      <w:numFmt w:val="bullet"/>
      <w:lvlText w:val="-"/>
      <w:lvlJc w:val="left"/>
      <w:pPr>
        <w:ind w:left="720" w:hanging="360"/>
      </w:pPr>
      <w:rPr>
        <w:rFonts w:ascii="Arial Narrow" w:eastAsia="Calibri" w:hAnsi="Arial Narrow" w:cs="TTFE62D370t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DAB0D7E"/>
    <w:multiLevelType w:val="hybridMultilevel"/>
    <w:tmpl w:val="8B6AC7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EEB790F"/>
    <w:multiLevelType w:val="hybridMultilevel"/>
    <w:tmpl w:val="4BC4330E"/>
    <w:lvl w:ilvl="0" w:tplc="F0D27028">
      <w:numFmt w:val="bullet"/>
      <w:lvlText w:val="-"/>
      <w:lvlJc w:val="left"/>
      <w:pPr>
        <w:ind w:left="720" w:hanging="360"/>
      </w:pPr>
      <w:rPr>
        <w:rFonts w:ascii="Arial Narrow" w:eastAsia="Calibri" w:hAnsi="Arial Narrow" w:cs="TTFE62D370t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trackRevisions/>
  <w:defaultTabStop w:val="708"/>
  <w:hyphenationZone w:val="425"/>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6630AD"/>
    <w:rsid w:val="0003654C"/>
    <w:rsid w:val="0005529C"/>
    <w:rsid w:val="00087A0C"/>
    <w:rsid w:val="00095BC4"/>
    <w:rsid w:val="000B7F44"/>
    <w:rsid w:val="000F5E86"/>
    <w:rsid w:val="00106BF1"/>
    <w:rsid w:val="00136207"/>
    <w:rsid w:val="00144171"/>
    <w:rsid w:val="00145F8A"/>
    <w:rsid w:val="00155752"/>
    <w:rsid w:val="00174B9C"/>
    <w:rsid w:val="00262809"/>
    <w:rsid w:val="0027716D"/>
    <w:rsid w:val="002E46A2"/>
    <w:rsid w:val="00301BE1"/>
    <w:rsid w:val="0032723C"/>
    <w:rsid w:val="00340550"/>
    <w:rsid w:val="00377D36"/>
    <w:rsid w:val="003B766A"/>
    <w:rsid w:val="003C18D3"/>
    <w:rsid w:val="0040615E"/>
    <w:rsid w:val="00415A31"/>
    <w:rsid w:val="004205B9"/>
    <w:rsid w:val="00430697"/>
    <w:rsid w:val="00445B9B"/>
    <w:rsid w:val="00476265"/>
    <w:rsid w:val="004838E2"/>
    <w:rsid w:val="004A6675"/>
    <w:rsid w:val="004D2102"/>
    <w:rsid w:val="004D266A"/>
    <w:rsid w:val="004E26C0"/>
    <w:rsid w:val="004F1FA5"/>
    <w:rsid w:val="0054414E"/>
    <w:rsid w:val="005805F1"/>
    <w:rsid w:val="005B5CD4"/>
    <w:rsid w:val="005D078C"/>
    <w:rsid w:val="00600030"/>
    <w:rsid w:val="00602443"/>
    <w:rsid w:val="00604423"/>
    <w:rsid w:val="00631168"/>
    <w:rsid w:val="006315D4"/>
    <w:rsid w:val="0065324F"/>
    <w:rsid w:val="006630AD"/>
    <w:rsid w:val="00694BEB"/>
    <w:rsid w:val="00716A17"/>
    <w:rsid w:val="00721245"/>
    <w:rsid w:val="007303D8"/>
    <w:rsid w:val="00733E3B"/>
    <w:rsid w:val="00737E13"/>
    <w:rsid w:val="00740E54"/>
    <w:rsid w:val="00755312"/>
    <w:rsid w:val="00763884"/>
    <w:rsid w:val="00774A53"/>
    <w:rsid w:val="007802B2"/>
    <w:rsid w:val="00796496"/>
    <w:rsid w:val="007A571D"/>
    <w:rsid w:val="007E5FD3"/>
    <w:rsid w:val="00804517"/>
    <w:rsid w:val="00806BC1"/>
    <w:rsid w:val="008303B4"/>
    <w:rsid w:val="00853390"/>
    <w:rsid w:val="008B0B84"/>
    <w:rsid w:val="009131B5"/>
    <w:rsid w:val="00934F06"/>
    <w:rsid w:val="00950A9D"/>
    <w:rsid w:val="0096060B"/>
    <w:rsid w:val="009B0CB4"/>
    <w:rsid w:val="009C074F"/>
    <w:rsid w:val="009C6007"/>
    <w:rsid w:val="009E4FF4"/>
    <w:rsid w:val="009E7152"/>
    <w:rsid w:val="00A4560E"/>
    <w:rsid w:val="00A95F0C"/>
    <w:rsid w:val="00AA61E8"/>
    <w:rsid w:val="00B16883"/>
    <w:rsid w:val="00B242B1"/>
    <w:rsid w:val="00B678C5"/>
    <w:rsid w:val="00B71673"/>
    <w:rsid w:val="00B745E8"/>
    <w:rsid w:val="00B74B29"/>
    <w:rsid w:val="00B81A51"/>
    <w:rsid w:val="00BA2F55"/>
    <w:rsid w:val="00BC0052"/>
    <w:rsid w:val="00BD1DC9"/>
    <w:rsid w:val="00BE48C8"/>
    <w:rsid w:val="00BE4B5C"/>
    <w:rsid w:val="00C043DA"/>
    <w:rsid w:val="00C14923"/>
    <w:rsid w:val="00C52E15"/>
    <w:rsid w:val="00C7131F"/>
    <w:rsid w:val="00C80EB0"/>
    <w:rsid w:val="00C91D52"/>
    <w:rsid w:val="00C978D5"/>
    <w:rsid w:val="00CA3EBA"/>
    <w:rsid w:val="00CA776B"/>
    <w:rsid w:val="00CE2BAD"/>
    <w:rsid w:val="00CF5402"/>
    <w:rsid w:val="00CF6756"/>
    <w:rsid w:val="00D20DD9"/>
    <w:rsid w:val="00D678AF"/>
    <w:rsid w:val="00D8016D"/>
    <w:rsid w:val="00D82C98"/>
    <w:rsid w:val="00E01FFF"/>
    <w:rsid w:val="00E30C74"/>
    <w:rsid w:val="00E64FE4"/>
    <w:rsid w:val="00EB3C56"/>
    <w:rsid w:val="00EC4124"/>
    <w:rsid w:val="00ED2A93"/>
    <w:rsid w:val="00ED7BEB"/>
    <w:rsid w:val="00EF15B6"/>
    <w:rsid w:val="00EF6389"/>
    <w:rsid w:val="00F07E7D"/>
    <w:rsid w:val="00F33DBF"/>
    <w:rsid w:val="00F40564"/>
    <w:rsid w:val="00F43EA8"/>
    <w:rsid w:val="00F53D9B"/>
    <w:rsid w:val="00F65B56"/>
    <w:rsid w:val="00F828C6"/>
    <w:rsid w:val="00FF4E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AD"/>
    <w:pPr>
      <w:spacing w:before="240" w:after="240"/>
      <w:jc w:val="both"/>
    </w:pPr>
    <w:rPr>
      <w:rFonts w:ascii="Arial Narrow" w:eastAsia="Times New Roman" w:hAnsi="Arial Narrow"/>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autoRedefine/>
    <w:uiPriority w:val="99"/>
    <w:rsid w:val="006630AD"/>
    <w:pPr>
      <w:pBdr>
        <w:bottom w:val="double" w:sz="4" w:space="1" w:color="6699C0"/>
      </w:pBdr>
      <w:tabs>
        <w:tab w:val="center" w:pos="4252"/>
        <w:tab w:val="right" w:pos="8364"/>
      </w:tabs>
      <w:spacing w:before="0" w:after="0"/>
      <w:jc w:val="center"/>
    </w:pPr>
    <w:rPr>
      <w:i/>
      <w:color w:val="629AC8"/>
      <w:sz w:val="20"/>
    </w:rPr>
  </w:style>
  <w:style w:type="character" w:customStyle="1" w:styleId="EncabezadoCar">
    <w:name w:val="Encabezado Car"/>
    <w:basedOn w:val="Fuentedeprrafopredeter"/>
    <w:link w:val="Encabezado"/>
    <w:uiPriority w:val="99"/>
    <w:rsid w:val="006630AD"/>
    <w:rPr>
      <w:rFonts w:ascii="Arial Narrow" w:eastAsia="Times New Roman" w:hAnsi="Arial Narrow" w:cs="Times New Roman"/>
      <w:i/>
      <w:color w:val="629AC8"/>
      <w:sz w:val="20"/>
      <w:szCs w:val="24"/>
      <w:lang w:eastAsia="es-ES"/>
    </w:rPr>
  </w:style>
  <w:style w:type="paragraph" w:customStyle="1" w:styleId="Bolos">
    <w:name w:val="Bolos"/>
    <w:basedOn w:val="Normal"/>
    <w:next w:val="Normal"/>
    <w:link w:val="BolosCar"/>
    <w:qFormat/>
    <w:rsid w:val="006630AD"/>
    <w:pPr>
      <w:numPr>
        <w:numId w:val="1"/>
      </w:numPr>
    </w:pPr>
    <w:rPr>
      <w:lang/>
    </w:rPr>
  </w:style>
  <w:style w:type="character" w:styleId="Hipervnculo">
    <w:name w:val="Hyperlink"/>
    <w:uiPriority w:val="99"/>
    <w:rsid w:val="006630AD"/>
    <w:rPr>
      <w:color w:val="0000FF"/>
      <w:u w:val="single"/>
    </w:rPr>
  </w:style>
  <w:style w:type="character" w:styleId="Referenciaintensa">
    <w:name w:val="Intense Reference"/>
    <w:uiPriority w:val="32"/>
    <w:qFormat/>
    <w:rsid w:val="006630AD"/>
    <w:rPr>
      <w:rFonts w:ascii="Arial Narrow" w:hAnsi="Arial Narrow"/>
      <w:b/>
      <w:bCs/>
      <w:caps w:val="0"/>
      <w:smallCaps/>
      <w:color w:val="5CACE2"/>
      <w:spacing w:val="5"/>
      <w:sz w:val="22"/>
      <w:u w:val="single" w:color="5CACE2"/>
    </w:rPr>
  </w:style>
  <w:style w:type="paragraph" w:styleId="Prrafodelista">
    <w:name w:val="List Paragraph"/>
    <w:basedOn w:val="Normal"/>
    <w:uiPriority w:val="34"/>
    <w:qFormat/>
    <w:rsid w:val="006630AD"/>
    <w:pPr>
      <w:ind w:left="709"/>
    </w:pPr>
  </w:style>
  <w:style w:type="character" w:styleId="nfasisintenso">
    <w:name w:val="Intense Emphasis"/>
    <w:uiPriority w:val="21"/>
    <w:qFormat/>
    <w:rsid w:val="006630AD"/>
    <w:rPr>
      <w:rFonts w:ascii="Arial Narrow" w:hAnsi="Arial Narrow"/>
      <w:b/>
      <w:bCs/>
      <w:i/>
      <w:iCs/>
      <w:color w:val="5CACE2"/>
      <w:sz w:val="22"/>
    </w:rPr>
  </w:style>
  <w:style w:type="character" w:customStyle="1" w:styleId="BolosCar">
    <w:name w:val="Bolos Car"/>
    <w:link w:val="Bolos"/>
    <w:rsid w:val="006630AD"/>
    <w:rPr>
      <w:rFonts w:ascii="Arial Narrow" w:eastAsia="Times New Roman" w:hAnsi="Arial Narrow" w:cs="Times New Roman"/>
      <w:sz w:val="24"/>
      <w:szCs w:val="24"/>
      <w:lang w:eastAsia="es-ES"/>
    </w:rPr>
  </w:style>
  <w:style w:type="paragraph" w:styleId="Piedepgina">
    <w:name w:val="footer"/>
    <w:basedOn w:val="Normal"/>
    <w:link w:val="PiedepginaCar"/>
    <w:uiPriority w:val="99"/>
    <w:unhideWhenUsed/>
    <w:rsid w:val="006630AD"/>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6630AD"/>
    <w:rPr>
      <w:rFonts w:ascii="Arial Narrow" w:eastAsia="Times New Roman" w:hAnsi="Arial Narrow" w:cs="Times New Roman"/>
      <w:sz w:val="24"/>
      <w:szCs w:val="24"/>
      <w:lang w:eastAsia="es-ES"/>
    </w:rPr>
  </w:style>
  <w:style w:type="paragraph" w:styleId="Textodeglobo">
    <w:name w:val="Balloon Text"/>
    <w:basedOn w:val="Normal"/>
    <w:link w:val="TextodegloboCar"/>
    <w:uiPriority w:val="99"/>
    <w:semiHidden/>
    <w:unhideWhenUsed/>
    <w:rsid w:val="004D210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102"/>
    <w:rPr>
      <w:rFonts w:ascii="Tahoma" w:eastAsia="Times New Roman" w:hAnsi="Tahoma" w:cs="Tahoma"/>
      <w:sz w:val="16"/>
      <w:szCs w:val="16"/>
    </w:rPr>
  </w:style>
  <w:style w:type="table" w:styleId="Tablaconcuadrcula">
    <w:name w:val="Table Grid"/>
    <w:basedOn w:val="Tablanormal"/>
    <w:uiPriority w:val="59"/>
    <w:rsid w:val="009C07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ndaciononce.es/ES/Publicaciones/editorialFO/Paginas/Buscador.aspx?TSMEIdPub=18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es/url?sa=t&amp;rct=j&amp;q=&amp;esrc=s&amp;source=web&amp;cd=1&amp;cad=rja&amp;uact=8&amp;ved=0CDEQFjAA&amp;url=http%3A%2F%2Fwww.caritas.es%2Fpublicaciones_download.aspx%3FId%3D4716%26Diocesis%3D1%26Idioma%3D1&amp;ei=Ko06U9vTGMGi0QXCm4GgCQ&amp;usg=AFQjCNG5Ly89lA83etQ_pf89_L6rSJa5bA&amp;sig2=UWNHAzo4YPKG3psr1qToR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gfc.sgpg.meh.es/sitios/dgfc/es-ES/ipr/fcp1420/p/pa/Consulta%20Publica/aasociacion2014-2020.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CF60823-84B8-4268-AA64-14BA970DD009}">
  <ds:schemaRefs>
    <ds:schemaRef ds:uri="http://schemas.microsoft.com/sharepoint/v3/contenttype/forms"/>
  </ds:schemaRefs>
</ds:datastoreItem>
</file>

<file path=customXml/itemProps2.xml><?xml version="1.0" encoding="utf-8"?>
<ds:datastoreItem xmlns:ds="http://schemas.openxmlformats.org/officeDocument/2006/customXml" ds:itemID="{9DA218B2-FBEA-40F4-A9AA-FB218C0DE6B2}">
  <ds:schemaRefs>
    <ds:schemaRef ds:uri="http://schemas.openxmlformats.org/officeDocument/2006/bibliography"/>
  </ds:schemaRefs>
</ds:datastoreItem>
</file>

<file path=customXml/itemProps3.xml><?xml version="1.0" encoding="utf-8"?>
<ds:datastoreItem xmlns:ds="http://schemas.openxmlformats.org/officeDocument/2006/customXml" ds:itemID="{B4C96FF5-8EAD-4756-9233-B57679666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7AB0DE4-C6FA-4ABC-B086-5E69680FC58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2562</Words>
  <Characters>14091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16620</CharactersWithSpaces>
  <SharedDoc>false</SharedDoc>
  <HLinks>
    <vt:vector size="18" baseType="variant">
      <vt:variant>
        <vt:i4>4456522</vt:i4>
      </vt:variant>
      <vt:variant>
        <vt:i4>6</vt:i4>
      </vt:variant>
      <vt:variant>
        <vt:i4>0</vt:i4>
      </vt:variant>
      <vt:variant>
        <vt:i4>5</vt:i4>
      </vt:variant>
      <vt:variant>
        <vt:lpwstr>http://www.fundaciononce.es/ES/Publicaciones/editorialFO/Paginas/Buscador.aspx?TSMEIdPub=187</vt:lpwstr>
      </vt:variant>
      <vt:variant>
        <vt:lpwstr/>
      </vt:variant>
      <vt:variant>
        <vt:i4>2490434</vt:i4>
      </vt:variant>
      <vt:variant>
        <vt:i4>3</vt:i4>
      </vt:variant>
      <vt:variant>
        <vt:i4>0</vt:i4>
      </vt:variant>
      <vt:variant>
        <vt:i4>5</vt:i4>
      </vt:variant>
      <vt:variant>
        <vt:lpwstr>https://www.google.es/url?sa=t&amp;rct=j&amp;q=&amp;esrc=s&amp;source=web&amp;cd=1&amp;cad=rja&amp;uact=8&amp;ved=0CDEQFjAA&amp;url=http%3A%2F%2Fwww.caritas.es%2Fpublicaciones_download.aspx%3FId%3D4716%26Diocesis%3D1%26Idioma%3D1&amp;ei=Ko06U9vTGMGi0QXCm4GgCQ&amp;usg=AFQjCNG5Ly89lA83etQ_pf89_L6rSJa5bA&amp;sig2=UWNHAzo4YPKG3psr1qToRA</vt:lpwstr>
      </vt:variant>
      <vt:variant>
        <vt:lpwstr/>
      </vt:variant>
      <vt:variant>
        <vt:i4>5963853</vt:i4>
      </vt:variant>
      <vt:variant>
        <vt:i4>0</vt:i4>
      </vt:variant>
      <vt:variant>
        <vt:i4>0</vt:i4>
      </vt:variant>
      <vt:variant>
        <vt:i4>5</vt:i4>
      </vt:variant>
      <vt:variant>
        <vt:lpwstr>http://www.dgfc.sgpg.meh.es/sitios/dgfc/es-ES/ipr/fcp1420/p/pa/Consulta Publica/aasociacion2014-2020.pdf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dc:creator>
  <cp:keywords/>
  <cp:lastModifiedBy>babella.svm</cp:lastModifiedBy>
  <cp:revision>2</cp:revision>
  <cp:lastPrinted>2014-04-24T12:13:00Z</cp:lastPrinted>
  <dcterms:created xsi:type="dcterms:W3CDTF">2014-04-30T11:40:00Z</dcterms:created>
  <dcterms:modified xsi:type="dcterms:W3CDTF">2014-04-30T11:40:00Z</dcterms:modified>
</cp:coreProperties>
</file>