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47E" w:rsidRPr="00AA0FFB" w:rsidRDefault="004D4498" w:rsidP="0038547E">
      <w:pPr>
        <w:pStyle w:val="Default"/>
        <w:jc w:val="center"/>
        <w:rPr>
          <w:sz w:val="28"/>
          <w:szCs w:val="28"/>
        </w:rPr>
      </w:pPr>
      <w:r>
        <w:rPr>
          <w:noProof/>
          <w:sz w:val="28"/>
          <w:szCs w:val="28"/>
        </w:rPr>
        <w:drawing>
          <wp:inline distT="0" distB="0" distL="0" distR="0">
            <wp:extent cx="1476375" cy="1000125"/>
            <wp:effectExtent l="19050" t="0" r="9525"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9"/>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38547E" w:rsidRPr="00AA0FFB" w:rsidRDefault="0038547E" w:rsidP="00C10007">
      <w:pPr>
        <w:pStyle w:val="Default"/>
        <w:jc w:val="both"/>
        <w:rPr>
          <w:sz w:val="28"/>
          <w:szCs w:val="28"/>
        </w:rPr>
      </w:pPr>
    </w:p>
    <w:p w:rsidR="00F20B93" w:rsidRPr="00AA0FFB" w:rsidRDefault="0038547E" w:rsidP="00C10007">
      <w:pPr>
        <w:pStyle w:val="Default"/>
        <w:pBdr>
          <w:bottom w:val="single" w:sz="12" w:space="1" w:color="auto"/>
        </w:pBdr>
        <w:jc w:val="both"/>
        <w:rPr>
          <w:b/>
          <w:bCs/>
          <w:sz w:val="28"/>
          <w:szCs w:val="28"/>
        </w:rPr>
      </w:pPr>
      <w:r w:rsidRPr="00AA0FFB">
        <w:rPr>
          <w:b/>
          <w:bCs/>
          <w:sz w:val="28"/>
          <w:szCs w:val="28"/>
        </w:rPr>
        <w:t xml:space="preserve">PROPUESTAS DE ENMIENDAS DEL CERMI EN MATERIA DE DISCAPACIDAD AL </w:t>
      </w:r>
      <w:r w:rsidR="00F20B93" w:rsidRPr="00AA0FFB">
        <w:rPr>
          <w:b/>
          <w:bCs/>
          <w:sz w:val="28"/>
          <w:szCs w:val="28"/>
        </w:rPr>
        <w:t>PROYECTO DE LEY POR EL QUE SE MODIFICA LA LEY DE SOCIEDADES DE CAPITAL PARA LA MEJORA DEL GOBIERNO CORPORATIVO</w:t>
      </w:r>
      <w:r w:rsidRPr="00AA0FFB">
        <w:rPr>
          <w:b/>
          <w:bCs/>
          <w:sz w:val="28"/>
          <w:szCs w:val="28"/>
        </w:rPr>
        <w:t xml:space="preserve"> –TRÁMITE DEL SENADO</w:t>
      </w:r>
    </w:p>
    <w:p w:rsidR="0038547E" w:rsidRPr="00AA0FFB" w:rsidRDefault="0038547E" w:rsidP="00C10007">
      <w:pPr>
        <w:pStyle w:val="Default"/>
        <w:jc w:val="both"/>
        <w:rPr>
          <w:iCs/>
          <w:sz w:val="28"/>
          <w:szCs w:val="28"/>
        </w:rPr>
      </w:pPr>
    </w:p>
    <w:p w:rsidR="007A0B76" w:rsidRPr="00AA0FFB" w:rsidRDefault="007A0B76" w:rsidP="003B372D">
      <w:pPr>
        <w:autoSpaceDE w:val="0"/>
        <w:autoSpaceDN w:val="0"/>
        <w:adjustRightInd w:val="0"/>
        <w:spacing w:before="160"/>
        <w:jc w:val="both"/>
        <w:rPr>
          <w:rFonts w:ascii="Arial" w:hAnsi="Arial" w:cs="Arial"/>
          <w:sz w:val="28"/>
          <w:szCs w:val="28"/>
        </w:rPr>
      </w:pPr>
      <w:r w:rsidRPr="00AA0FFB">
        <w:rPr>
          <w:rFonts w:ascii="Arial" w:hAnsi="Arial" w:cs="Arial"/>
          <w:sz w:val="28"/>
          <w:szCs w:val="28"/>
        </w:rPr>
        <w:t>El Proyecto de Ley aprobado por el Congreso de los Diputados, que ahora se tramita en el</w:t>
      </w:r>
      <w:r w:rsidR="003B372D" w:rsidRPr="00AA0FFB">
        <w:rPr>
          <w:rFonts w:ascii="Arial" w:hAnsi="Arial" w:cs="Arial"/>
          <w:sz w:val="28"/>
          <w:szCs w:val="28"/>
        </w:rPr>
        <w:t xml:space="preserve"> </w:t>
      </w:r>
      <w:r w:rsidRPr="00AA0FFB">
        <w:rPr>
          <w:rFonts w:ascii="Arial" w:hAnsi="Arial" w:cs="Arial"/>
          <w:sz w:val="28"/>
          <w:szCs w:val="28"/>
        </w:rPr>
        <w:t xml:space="preserve">Senado, ha incluido una disposición adicional segunda, relativa a la </w:t>
      </w:r>
      <w:r w:rsidRPr="00AA0FFB">
        <w:rPr>
          <w:rFonts w:ascii="Arial" w:hAnsi="Arial" w:cs="Arial"/>
          <w:color w:val="000000"/>
          <w:sz w:val="28"/>
          <w:szCs w:val="28"/>
        </w:rPr>
        <w:t>e</w:t>
      </w:r>
      <w:r w:rsidR="003B372D" w:rsidRPr="00AA0FFB">
        <w:rPr>
          <w:rFonts w:ascii="Arial" w:hAnsi="Arial" w:cs="Arial"/>
          <w:color w:val="000000"/>
          <w:sz w:val="28"/>
          <w:szCs w:val="28"/>
        </w:rPr>
        <w:t xml:space="preserve">laboración de un </w:t>
      </w:r>
      <w:r w:rsidRPr="00AA0FFB">
        <w:rPr>
          <w:rFonts w:ascii="Arial" w:hAnsi="Arial" w:cs="Arial"/>
          <w:color w:val="000000"/>
          <w:sz w:val="28"/>
          <w:szCs w:val="28"/>
        </w:rPr>
        <w:t xml:space="preserve">Informe sobre barreras en el acceso a la información y ejercicio del derecho de voto en sociedades cotizadas, </w:t>
      </w:r>
      <w:r w:rsidRPr="00AA0FFB">
        <w:rPr>
          <w:rFonts w:ascii="Arial" w:hAnsi="Arial" w:cs="Arial"/>
          <w:sz w:val="28"/>
          <w:szCs w:val="28"/>
        </w:rPr>
        <w:t>que dice:</w:t>
      </w:r>
    </w:p>
    <w:p w:rsidR="007A0B76" w:rsidRPr="00AA0FFB" w:rsidRDefault="007A0B76" w:rsidP="003B372D">
      <w:pPr>
        <w:pStyle w:val="Default"/>
        <w:jc w:val="both"/>
        <w:rPr>
          <w:sz w:val="28"/>
          <w:szCs w:val="28"/>
        </w:rPr>
      </w:pPr>
    </w:p>
    <w:p w:rsidR="007A0B76" w:rsidRPr="00AA0FFB" w:rsidRDefault="007A0B76" w:rsidP="007A0B76">
      <w:pPr>
        <w:pStyle w:val="Default"/>
        <w:ind w:left="284" w:right="284"/>
        <w:jc w:val="both"/>
        <w:rPr>
          <w:i/>
          <w:iCs/>
          <w:sz w:val="28"/>
          <w:szCs w:val="28"/>
        </w:rPr>
      </w:pPr>
      <w:r w:rsidRPr="00AA0FFB">
        <w:rPr>
          <w:i/>
          <w:sz w:val="28"/>
          <w:szCs w:val="28"/>
        </w:rPr>
        <w:t>En el plazo de seis meses desde la aprobación de esta Ley, el Gobierno, a propuesta del Ministerio de Economía y Competitividad y del Ministerio de Sanidad, Servicios Sociales e Igualdad, elaborará un informe sobre las barreras con las que se encuentran las personas con discapacidad o personas mayores para el acceso a la información de las sociedades cotizadas y para el ejercicio de su derecho de voto en las mismas.</w:t>
      </w:r>
    </w:p>
    <w:p w:rsidR="007A0B76" w:rsidRPr="00AA0FFB" w:rsidRDefault="007A0B76" w:rsidP="007A0B76">
      <w:pPr>
        <w:pStyle w:val="Default"/>
        <w:ind w:left="284" w:right="284"/>
        <w:jc w:val="both"/>
        <w:rPr>
          <w:i/>
          <w:iCs/>
          <w:sz w:val="28"/>
          <w:szCs w:val="28"/>
        </w:rPr>
      </w:pPr>
    </w:p>
    <w:p w:rsidR="00F20B93" w:rsidRPr="00AA0FFB" w:rsidRDefault="007A0B76" w:rsidP="00C10007">
      <w:pPr>
        <w:pStyle w:val="Default"/>
        <w:jc w:val="both"/>
        <w:rPr>
          <w:iCs/>
          <w:sz w:val="28"/>
          <w:szCs w:val="28"/>
        </w:rPr>
      </w:pPr>
      <w:r w:rsidRPr="00AA0FFB">
        <w:rPr>
          <w:iCs/>
          <w:sz w:val="28"/>
          <w:szCs w:val="28"/>
        </w:rPr>
        <w:t xml:space="preserve">Aun siendo un avance el que se incluya esta disposición, resulta </w:t>
      </w:r>
      <w:r w:rsidR="00D4216C" w:rsidRPr="00AA0FFB">
        <w:rPr>
          <w:iCs/>
          <w:sz w:val="28"/>
          <w:szCs w:val="28"/>
        </w:rPr>
        <w:t xml:space="preserve">ABSOLUTAMENTE </w:t>
      </w:r>
      <w:r w:rsidRPr="00AA0FFB">
        <w:rPr>
          <w:iCs/>
          <w:sz w:val="28"/>
          <w:szCs w:val="28"/>
        </w:rPr>
        <w:t xml:space="preserve">compatible con las propuestas </w:t>
      </w:r>
      <w:r w:rsidR="00D4216C" w:rsidRPr="00AA0FFB">
        <w:rPr>
          <w:iCs/>
          <w:sz w:val="28"/>
          <w:szCs w:val="28"/>
        </w:rPr>
        <w:t xml:space="preserve">de enmiendas </w:t>
      </w:r>
      <w:r w:rsidRPr="00AA0FFB">
        <w:rPr>
          <w:iCs/>
          <w:sz w:val="28"/>
          <w:szCs w:val="28"/>
        </w:rPr>
        <w:t>que a continuaci</w:t>
      </w:r>
      <w:r w:rsidR="003B372D" w:rsidRPr="00AA0FFB">
        <w:rPr>
          <w:iCs/>
          <w:sz w:val="28"/>
          <w:szCs w:val="28"/>
        </w:rPr>
        <w:t>ón efectuamo</w:t>
      </w:r>
      <w:r w:rsidRPr="00AA0FFB">
        <w:rPr>
          <w:iCs/>
          <w:sz w:val="28"/>
          <w:szCs w:val="28"/>
        </w:rPr>
        <w:t>s.</w:t>
      </w:r>
    </w:p>
    <w:p w:rsidR="007A0B76" w:rsidRPr="00AA0FFB" w:rsidRDefault="007A0B76" w:rsidP="00C10007">
      <w:pPr>
        <w:pStyle w:val="Default"/>
        <w:jc w:val="both"/>
        <w:rPr>
          <w:iCs/>
          <w:sz w:val="28"/>
          <w:szCs w:val="28"/>
        </w:rPr>
      </w:pPr>
    </w:p>
    <w:p w:rsidR="00F20B93" w:rsidRPr="00AA0FFB" w:rsidRDefault="00F20B93" w:rsidP="00C10007">
      <w:pPr>
        <w:jc w:val="both"/>
        <w:rPr>
          <w:rFonts w:ascii="Arial" w:hAnsi="Arial" w:cs="Arial"/>
          <w:b/>
          <w:sz w:val="28"/>
          <w:szCs w:val="28"/>
        </w:rPr>
      </w:pPr>
      <w:r w:rsidRPr="00AA0FFB">
        <w:rPr>
          <w:rFonts w:ascii="Arial" w:hAnsi="Arial" w:cs="Arial"/>
          <w:b/>
          <w:sz w:val="28"/>
          <w:szCs w:val="28"/>
        </w:rPr>
        <w:t>Justificación de las propuestas</w:t>
      </w:r>
    </w:p>
    <w:p w:rsidR="00F20B93" w:rsidRPr="00AA0FFB" w:rsidRDefault="00F20B93" w:rsidP="00C10007">
      <w:pPr>
        <w:jc w:val="both"/>
        <w:rPr>
          <w:rFonts w:ascii="Arial" w:hAnsi="Arial" w:cs="Arial"/>
          <w:b/>
          <w:sz w:val="28"/>
          <w:szCs w:val="28"/>
        </w:rPr>
      </w:pPr>
    </w:p>
    <w:p w:rsidR="00F20B93" w:rsidRPr="00AA0FFB" w:rsidRDefault="00F20B93" w:rsidP="00C10007">
      <w:pPr>
        <w:jc w:val="both"/>
        <w:rPr>
          <w:rFonts w:ascii="Arial" w:hAnsi="Arial" w:cs="Arial"/>
          <w:sz w:val="28"/>
          <w:szCs w:val="28"/>
        </w:rPr>
      </w:pPr>
      <w:r w:rsidRPr="00AA0FFB">
        <w:rPr>
          <w:rFonts w:ascii="Arial" w:hAnsi="Arial" w:cs="Arial"/>
          <w:sz w:val="28"/>
          <w:szCs w:val="28"/>
        </w:rPr>
        <w:t xml:space="preserve">Se sugiere una mención a la necesidad de garantizar la accesibilidad de las personas con discapacidad o de edad </w:t>
      </w:r>
      <w:r w:rsidR="00D4216C" w:rsidRPr="00AA0FFB">
        <w:rPr>
          <w:rFonts w:ascii="Arial" w:hAnsi="Arial" w:cs="Arial"/>
          <w:sz w:val="28"/>
          <w:szCs w:val="28"/>
        </w:rPr>
        <w:t xml:space="preserve">avanzada </w:t>
      </w:r>
      <w:r w:rsidRPr="00AA0FFB">
        <w:rPr>
          <w:rFonts w:ascii="Arial" w:hAnsi="Arial" w:cs="Arial"/>
          <w:sz w:val="28"/>
          <w:szCs w:val="28"/>
        </w:rPr>
        <w:t>a la información corporativa a que tienen derecho como accionistas. As</w:t>
      </w:r>
      <w:r w:rsidR="00D4216C" w:rsidRPr="00AA0FFB">
        <w:rPr>
          <w:rFonts w:ascii="Arial" w:hAnsi="Arial" w:cs="Arial"/>
          <w:sz w:val="28"/>
          <w:szCs w:val="28"/>
        </w:rPr>
        <w:t>i</w:t>
      </w:r>
      <w:r w:rsidRPr="00AA0FFB">
        <w:rPr>
          <w:rFonts w:ascii="Arial" w:hAnsi="Arial" w:cs="Arial"/>
          <w:sz w:val="28"/>
          <w:szCs w:val="28"/>
        </w:rPr>
        <w:t xml:space="preserve">mismo, se propone asegurar que los accionistas con discapacidad o de </w:t>
      </w:r>
      <w:r w:rsidR="00D4216C" w:rsidRPr="00AA0FFB">
        <w:rPr>
          <w:rFonts w:ascii="Arial" w:hAnsi="Arial" w:cs="Arial"/>
          <w:sz w:val="28"/>
          <w:szCs w:val="28"/>
        </w:rPr>
        <w:t xml:space="preserve">edad avanzada </w:t>
      </w:r>
      <w:r w:rsidRPr="00AA0FFB">
        <w:rPr>
          <w:rFonts w:ascii="Arial" w:hAnsi="Arial" w:cs="Arial"/>
          <w:sz w:val="28"/>
          <w:szCs w:val="28"/>
        </w:rPr>
        <w:t>puedan participar en las Juntas y en los Consejos de Administración, eliminándose barreras físicas</w:t>
      </w:r>
      <w:r w:rsidR="00D4216C" w:rsidRPr="00AA0FFB">
        <w:rPr>
          <w:rFonts w:ascii="Arial" w:hAnsi="Arial" w:cs="Arial"/>
          <w:sz w:val="28"/>
          <w:szCs w:val="28"/>
        </w:rPr>
        <w:t>, cognitivas</w:t>
      </w:r>
      <w:r w:rsidRPr="00AA0FFB">
        <w:rPr>
          <w:rFonts w:ascii="Arial" w:hAnsi="Arial" w:cs="Arial"/>
          <w:sz w:val="28"/>
          <w:szCs w:val="28"/>
        </w:rPr>
        <w:t xml:space="preserve"> o de comunicación que impidan el ejercicio de sus derechos sociales.</w:t>
      </w:r>
    </w:p>
    <w:p w:rsidR="00F20B93" w:rsidRPr="00AA0FFB" w:rsidRDefault="00F20B93" w:rsidP="00C10007">
      <w:pPr>
        <w:jc w:val="both"/>
        <w:rPr>
          <w:rFonts w:ascii="Arial" w:hAnsi="Arial" w:cs="Arial"/>
          <w:sz w:val="28"/>
          <w:szCs w:val="28"/>
        </w:rPr>
      </w:pPr>
    </w:p>
    <w:p w:rsidR="00F20B93" w:rsidRPr="00AA0FFB" w:rsidRDefault="00D4216C" w:rsidP="00C10007">
      <w:pPr>
        <w:jc w:val="both"/>
        <w:rPr>
          <w:rFonts w:ascii="Arial" w:hAnsi="Arial" w:cs="Arial"/>
          <w:sz w:val="28"/>
          <w:szCs w:val="28"/>
        </w:rPr>
      </w:pPr>
      <w:r w:rsidRPr="00AA0FFB">
        <w:rPr>
          <w:rFonts w:ascii="Arial" w:hAnsi="Arial" w:cs="Arial"/>
          <w:sz w:val="28"/>
          <w:szCs w:val="28"/>
        </w:rPr>
        <w:lastRenderedPageBreak/>
        <w:t>De igual modo</w:t>
      </w:r>
      <w:r w:rsidR="00F20B93" w:rsidRPr="00AA0FFB">
        <w:rPr>
          <w:rFonts w:ascii="Arial" w:hAnsi="Arial" w:cs="Arial"/>
          <w:sz w:val="28"/>
          <w:szCs w:val="28"/>
        </w:rPr>
        <w:t xml:space="preserve">, se propone que los informes de gestión contemplen, junto a las cuestiones relacionadas con el medio ambiente y laborales, aquellas referidas al cumplimiento de reglas en materia de igualdad y no discriminación. Fórmula amplia que incorpora cualquier circunstancia contemplada en la normativa vigente, como la igualdad de género y la discapacidad. </w:t>
      </w:r>
    </w:p>
    <w:p w:rsidR="00F20B93" w:rsidRPr="00AA0FFB" w:rsidRDefault="00F20B93" w:rsidP="00C10007">
      <w:pPr>
        <w:jc w:val="both"/>
        <w:rPr>
          <w:rFonts w:ascii="Arial" w:hAnsi="Arial" w:cs="Arial"/>
          <w:sz w:val="28"/>
          <w:szCs w:val="28"/>
        </w:rPr>
      </w:pPr>
    </w:p>
    <w:p w:rsidR="00F20B93" w:rsidRPr="00AA0FFB" w:rsidRDefault="00F20B93" w:rsidP="00C10007">
      <w:pPr>
        <w:jc w:val="both"/>
        <w:rPr>
          <w:rFonts w:ascii="Arial" w:hAnsi="Arial" w:cs="Arial"/>
          <w:bCs/>
          <w:sz w:val="28"/>
          <w:szCs w:val="28"/>
        </w:rPr>
      </w:pPr>
      <w:r w:rsidRPr="00AA0FFB">
        <w:rPr>
          <w:rFonts w:ascii="Arial" w:hAnsi="Arial" w:cs="Arial"/>
          <w:bCs/>
          <w:sz w:val="28"/>
          <w:szCs w:val="28"/>
        </w:rPr>
        <w:t>Por otro lado, la discapacidad es un componente esencial de la diversidad que debe ser tenido en cuenta en las políticas y procedimientos de selección de los miembros de los consejos de administración, asegurando el cumplimiento de principios de no</w:t>
      </w:r>
      <w:r w:rsidR="00D4216C" w:rsidRPr="00AA0FFB">
        <w:rPr>
          <w:rFonts w:ascii="Arial" w:hAnsi="Arial" w:cs="Arial"/>
          <w:bCs/>
          <w:sz w:val="28"/>
          <w:szCs w:val="28"/>
        </w:rPr>
        <w:t xml:space="preserve"> </w:t>
      </w:r>
      <w:r w:rsidRPr="00AA0FFB">
        <w:rPr>
          <w:rFonts w:ascii="Arial" w:hAnsi="Arial" w:cs="Arial"/>
          <w:bCs/>
          <w:sz w:val="28"/>
          <w:szCs w:val="28"/>
        </w:rPr>
        <w:t xml:space="preserve">discriminación e igualdad de oportunidades. La participación de personas con discapacidad en los consejos de administración supone una aportación de talento y puntos de vista que enriquecen los procesos de toma de decisiones, contribuyendo a una mejor gobernanza. Por consiguiente, proponemos incluir la diversidad en materia de discapacidad, junto a la de género, esta última sí contemplada en el </w:t>
      </w:r>
      <w:r w:rsidR="00B343C1" w:rsidRPr="00AA0FFB">
        <w:rPr>
          <w:rFonts w:ascii="Arial" w:hAnsi="Arial" w:cs="Arial"/>
          <w:bCs/>
          <w:sz w:val="28"/>
          <w:szCs w:val="28"/>
        </w:rPr>
        <w:t>P</w:t>
      </w:r>
      <w:r w:rsidRPr="00AA0FFB">
        <w:rPr>
          <w:rFonts w:ascii="Arial" w:hAnsi="Arial" w:cs="Arial"/>
          <w:bCs/>
          <w:sz w:val="28"/>
          <w:szCs w:val="28"/>
        </w:rPr>
        <w:t>royecto.</w:t>
      </w:r>
    </w:p>
    <w:p w:rsidR="00F20B93" w:rsidRPr="00AA0FFB" w:rsidRDefault="00F20B93" w:rsidP="00C10007">
      <w:pPr>
        <w:pStyle w:val="Default"/>
        <w:jc w:val="both"/>
        <w:rPr>
          <w:iCs/>
          <w:sz w:val="28"/>
          <w:szCs w:val="28"/>
        </w:rPr>
      </w:pPr>
    </w:p>
    <w:p w:rsidR="00F20B93" w:rsidRPr="00AA0FFB" w:rsidRDefault="00F20B93" w:rsidP="00C10007">
      <w:pPr>
        <w:jc w:val="both"/>
        <w:rPr>
          <w:rFonts w:ascii="Arial" w:hAnsi="Arial" w:cs="Arial"/>
          <w:b/>
          <w:sz w:val="28"/>
          <w:szCs w:val="28"/>
        </w:rPr>
      </w:pPr>
      <w:r w:rsidRPr="00AA0FFB">
        <w:rPr>
          <w:rFonts w:ascii="Arial" w:hAnsi="Arial" w:cs="Arial"/>
          <w:b/>
          <w:bCs/>
          <w:sz w:val="28"/>
          <w:szCs w:val="28"/>
        </w:rPr>
        <w:t>PROPUESTAS</w:t>
      </w:r>
      <w:r w:rsidR="00C10007" w:rsidRPr="00AA0FFB">
        <w:rPr>
          <w:rFonts w:ascii="Arial" w:hAnsi="Arial" w:cs="Arial"/>
          <w:b/>
          <w:bCs/>
          <w:sz w:val="28"/>
          <w:szCs w:val="28"/>
        </w:rPr>
        <w:t xml:space="preserve"> (Modificaciones del articulado de la </w:t>
      </w:r>
      <w:r w:rsidR="00C10007" w:rsidRPr="00AA0FFB">
        <w:rPr>
          <w:rFonts w:ascii="Arial" w:hAnsi="Arial" w:cs="Arial"/>
          <w:b/>
          <w:iCs/>
          <w:sz w:val="28"/>
          <w:szCs w:val="28"/>
        </w:rPr>
        <w:t>Ley de Sociedades de Capital (LSC), probado por el Real Decreto Legislativo 1/2010, de 2 de julio.)</w:t>
      </w:r>
    </w:p>
    <w:p w:rsidR="00F20B93" w:rsidRPr="00AA0FFB" w:rsidRDefault="00F20B93" w:rsidP="00C10007">
      <w:pPr>
        <w:jc w:val="both"/>
        <w:rPr>
          <w:rFonts w:ascii="Arial" w:hAnsi="Arial" w:cs="Arial"/>
          <w:sz w:val="28"/>
          <w:szCs w:val="28"/>
        </w:rPr>
      </w:pPr>
    </w:p>
    <w:p w:rsidR="00F20B93" w:rsidRPr="00AA0FFB" w:rsidRDefault="00F20B93" w:rsidP="00C10007">
      <w:pPr>
        <w:pStyle w:val="Default"/>
        <w:jc w:val="both"/>
        <w:rPr>
          <w:b/>
          <w:bCs/>
          <w:sz w:val="28"/>
          <w:szCs w:val="28"/>
        </w:rPr>
      </w:pPr>
      <w:r w:rsidRPr="00AA0FFB">
        <w:rPr>
          <w:b/>
          <w:bCs/>
          <w:sz w:val="28"/>
          <w:szCs w:val="28"/>
        </w:rPr>
        <w:t xml:space="preserve">PROPUESTA 1. Apartado </w:t>
      </w:r>
      <w:r w:rsidR="009F01EC" w:rsidRPr="00AA0FFB">
        <w:rPr>
          <w:b/>
          <w:bCs/>
          <w:sz w:val="28"/>
          <w:szCs w:val="28"/>
        </w:rPr>
        <w:t>Cuatro del artículo único</w:t>
      </w:r>
      <w:r w:rsidRPr="00AA0FFB">
        <w:rPr>
          <w:b/>
          <w:bCs/>
          <w:sz w:val="28"/>
          <w:szCs w:val="28"/>
        </w:rPr>
        <w:t xml:space="preserve"> de la Ley</w:t>
      </w:r>
      <w:r w:rsidR="009F01EC" w:rsidRPr="00AA0FFB">
        <w:rPr>
          <w:b/>
          <w:bCs/>
          <w:sz w:val="28"/>
          <w:szCs w:val="28"/>
        </w:rPr>
        <w:t>.</w:t>
      </w:r>
    </w:p>
    <w:p w:rsidR="00F20B93" w:rsidRPr="00AA0FFB" w:rsidRDefault="00F20B93" w:rsidP="00C10007">
      <w:pPr>
        <w:pStyle w:val="Default"/>
        <w:jc w:val="both"/>
        <w:rPr>
          <w:b/>
          <w:bCs/>
          <w:sz w:val="28"/>
          <w:szCs w:val="28"/>
        </w:rPr>
      </w:pPr>
    </w:p>
    <w:p w:rsidR="00F20B93" w:rsidRPr="00AA0FFB" w:rsidRDefault="00F20B93" w:rsidP="00C10007">
      <w:pPr>
        <w:pStyle w:val="Default"/>
        <w:jc w:val="both"/>
        <w:rPr>
          <w:sz w:val="28"/>
          <w:szCs w:val="28"/>
        </w:rPr>
      </w:pPr>
      <w:r w:rsidRPr="00AA0FFB">
        <w:rPr>
          <w:sz w:val="28"/>
          <w:szCs w:val="28"/>
        </w:rPr>
        <w:t xml:space="preserve">El artículo 197.1 queda redactado como sigue: </w:t>
      </w:r>
    </w:p>
    <w:p w:rsidR="00F20B93" w:rsidRPr="00AA0FFB" w:rsidRDefault="00F20B93" w:rsidP="00C10007">
      <w:pPr>
        <w:pStyle w:val="Default"/>
        <w:jc w:val="both"/>
        <w:rPr>
          <w:sz w:val="28"/>
          <w:szCs w:val="28"/>
        </w:rPr>
      </w:pPr>
    </w:p>
    <w:p w:rsidR="009F01EC" w:rsidRPr="00AA0FFB" w:rsidRDefault="009F01EC" w:rsidP="00C10007">
      <w:pPr>
        <w:autoSpaceDE w:val="0"/>
        <w:autoSpaceDN w:val="0"/>
        <w:adjustRightInd w:val="0"/>
        <w:ind w:left="284" w:right="284"/>
        <w:jc w:val="both"/>
        <w:rPr>
          <w:rFonts w:ascii="Arial" w:hAnsi="Arial" w:cs="Arial"/>
          <w:i/>
          <w:sz w:val="28"/>
          <w:szCs w:val="28"/>
        </w:rPr>
      </w:pPr>
      <w:r w:rsidRPr="00AA0FFB">
        <w:rPr>
          <w:rFonts w:ascii="Arial" w:hAnsi="Arial" w:cs="Arial"/>
          <w:i/>
          <w:sz w:val="28"/>
          <w:szCs w:val="28"/>
        </w:rPr>
        <w:t>1. Hasta el séptimo día anterior al previsto para la celebración de la junta, los accionistas podrán solicitar de los administradores las informaciones o aclaraciones que estimen precisas acerca de los asuntos comprendidos en el orden del día, o formular por escrito las preguntas que consideren pertinentes.</w:t>
      </w:r>
    </w:p>
    <w:p w:rsidR="009F01EC" w:rsidRPr="00AA0FFB" w:rsidRDefault="009F01EC" w:rsidP="00C10007">
      <w:pPr>
        <w:autoSpaceDE w:val="0"/>
        <w:autoSpaceDN w:val="0"/>
        <w:adjustRightInd w:val="0"/>
        <w:ind w:left="284" w:right="284"/>
        <w:jc w:val="both"/>
        <w:rPr>
          <w:rFonts w:ascii="Arial" w:hAnsi="Arial" w:cs="Arial"/>
          <w:i/>
          <w:sz w:val="28"/>
          <w:szCs w:val="28"/>
        </w:rPr>
      </w:pPr>
    </w:p>
    <w:p w:rsidR="009F01EC" w:rsidRPr="00AA0FFB" w:rsidRDefault="009F01EC" w:rsidP="00C10007">
      <w:pPr>
        <w:autoSpaceDE w:val="0"/>
        <w:autoSpaceDN w:val="0"/>
        <w:adjustRightInd w:val="0"/>
        <w:ind w:left="284" w:right="284"/>
        <w:jc w:val="both"/>
        <w:rPr>
          <w:rFonts w:ascii="Arial" w:hAnsi="Arial" w:cs="Arial"/>
          <w:i/>
          <w:sz w:val="28"/>
          <w:szCs w:val="28"/>
        </w:rPr>
      </w:pPr>
      <w:r w:rsidRPr="00AA0FFB">
        <w:rPr>
          <w:rFonts w:ascii="Arial" w:hAnsi="Arial" w:cs="Arial"/>
          <w:i/>
          <w:sz w:val="28"/>
          <w:szCs w:val="28"/>
        </w:rPr>
        <w:t>Los administradores estarán obligados a facilitar la información por escrito hasta el día de la celebración de la junta general.</w:t>
      </w:r>
    </w:p>
    <w:p w:rsidR="009F01EC" w:rsidRPr="00AA0FFB" w:rsidRDefault="009F01EC" w:rsidP="00C10007">
      <w:pPr>
        <w:autoSpaceDE w:val="0"/>
        <w:autoSpaceDN w:val="0"/>
        <w:adjustRightInd w:val="0"/>
        <w:ind w:left="284" w:right="284"/>
        <w:jc w:val="both"/>
        <w:rPr>
          <w:rFonts w:ascii="Arial" w:hAnsi="Arial" w:cs="Arial"/>
          <w:i/>
          <w:sz w:val="28"/>
          <w:szCs w:val="28"/>
        </w:rPr>
      </w:pPr>
    </w:p>
    <w:p w:rsidR="00F20B93" w:rsidRPr="00AA0FFB" w:rsidRDefault="00F20B93" w:rsidP="00C10007">
      <w:pPr>
        <w:autoSpaceDE w:val="0"/>
        <w:autoSpaceDN w:val="0"/>
        <w:adjustRightInd w:val="0"/>
        <w:ind w:left="284" w:right="284"/>
        <w:jc w:val="both"/>
        <w:rPr>
          <w:rFonts w:ascii="Arial" w:hAnsi="Arial" w:cs="Arial"/>
          <w:b/>
          <w:i/>
          <w:sz w:val="28"/>
          <w:szCs w:val="28"/>
        </w:rPr>
      </w:pPr>
      <w:r w:rsidRPr="00AA0FFB">
        <w:rPr>
          <w:rFonts w:ascii="Arial" w:hAnsi="Arial" w:cs="Arial"/>
          <w:b/>
          <w:i/>
          <w:sz w:val="28"/>
          <w:szCs w:val="28"/>
        </w:rPr>
        <w:t xml:space="preserve">La información se facilitará en soporte </w:t>
      </w:r>
      <w:r w:rsidR="00D4216C" w:rsidRPr="00AA0FFB">
        <w:rPr>
          <w:rFonts w:ascii="Arial" w:hAnsi="Arial" w:cs="Arial"/>
          <w:b/>
          <w:i/>
          <w:sz w:val="28"/>
          <w:szCs w:val="28"/>
        </w:rPr>
        <w:t xml:space="preserve">o formato </w:t>
      </w:r>
      <w:r w:rsidRPr="00AA0FFB">
        <w:rPr>
          <w:rFonts w:ascii="Arial" w:hAnsi="Arial" w:cs="Arial"/>
          <w:b/>
          <w:i/>
          <w:sz w:val="28"/>
          <w:szCs w:val="28"/>
        </w:rPr>
        <w:t>accesible</w:t>
      </w:r>
      <w:r w:rsidR="00D4216C" w:rsidRPr="00AA0FFB">
        <w:rPr>
          <w:rFonts w:ascii="Arial" w:hAnsi="Arial" w:cs="Arial"/>
          <w:b/>
          <w:i/>
          <w:sz w:val="28"/>
          <w:szCs w:val="28"/>
        </w:rPr>
        <w:t>s</w:t>
      </w:r>
      <w:r w:rsidRPr="00AA0FFB">
        <w:rPr>
          <w:rFonts w:ascii="Arial" w:hAnsi="Arial" w:cs="Arial"/>
          <w:b/>
          <w:i/>
          <w:sz w:val="28"/>
          <w:szCs w:val="28"/>
        </w:rPr>
        <w:t xml:space="preserve"> para las personas con discapacidad de cualquier tipo. Igualmente, se garantizará la accesibilidad de las mismas y de las personas </w:t>
      </w:r>
      <w:r w:rsidR="00D4216C" w:rsidRPr="00AA0FFB">
        <w:rPr>
          <w:rFonts w:ascii="Arial" w:hAnsi="Arial" w:cs="Arial"/>
          <w:b/>
          <w:i/>
          <w:sz w:val="28"/>
          <w:szCs w:val="28"/>
        </w:rPr>
        <w:t>de edad avanzada de</w:t>
      </w:r>
      <w:r w:rsidRPr="00AA0FFB">
        <w:rPr>
          <w:rFonts w:ascii="Arial" w:hAnsi="Arial" w:cs="Arial"/>
          <w:b/>
          <w:i/>
          <w:sz w:val="28"/>
          <w:szCs w:val="28"/>
        </w:rPr>
        <w:t xml:space="preserve"> los lugares donde se celebren las Juntas Generales u otros órganos societarios</w:t>
      </w:r>
      <w:r w:rsidR="00D4216C" w:rsidRPr="00AA0FFB">
        <w:rPr>
          <w:rFonts w:ascii="Arial" w:hAnsi="Arial" w:cs="Arial"/>
          <w:b/>
          <w:i/>
          <w:sz w:val="28"/>
          <w:szCs w:val="28"/>
        </w:rPr>
        <w:t xml:space="preserve"> y en las reuniones que mantengan</w:t>
      </w:r>
      <w:r w:rsidR="00EA10FF" w:rsidRPr="00AA0FFB">
        <w:rPr>
          <w:rFonts w:ascii="Arial" w:hAnsi="Arial" w:cs="Arial"/>
          <w:b/>
          <w:i/>
          <w:sz w:val="28"/>
          <w:szCs w:val="28"/>
        </w:rPr>
        <w:t>.</w:t>
      </w:r>
    </w:p>
    <w:p w:rsidR="00F20B93" w:rsidRPr="00AA0FFB" w:rsidRDefault="00F20B93" w:rsidP="00C10007">
      <w:pPr>
        <w:pStyle w:val="Default"/>
        <w:ind w:left="284" w:right="284"/>
        <w:jc w:val="both"/>
        <w:rPr>
          <w:i/>
          <w:sz w:val="28"/>
          <w:szCs w:val="28"/>
        </w:rPr>
      </w:pPr>
    </w:p>
    <w:p w:rsidR="00F20B93" w:rsidRPr="00AA0FFB" w:rsidRDefault="00F20B93" w:rsidP="00C10007">
      <w:pPr>
        <w:pStyle w:val="Default"/>
        <w:jc w:val="both"/>
        <w:rPr>
          <w:b/>
          <w:bCs/>
          <w:sz w:val="28"/>
          <w:szCs w:val="28"/>
        </w:rPr>
      </w:pPr>
      <w:r w:rsidRPr="00AA0FFB">
        <w:rPr>
          <w:b/>
          <w:bCs/>
          <w:sz w:val="28"/>
          <w:szCs w:val="28"/>
        </w:rPr>
        <w:t xml:space="preserve">PROPUESTA 2. Apartado </w:t>
      </w:r>
      <w:r w:rsidR="002875C6" w:rsidRPr="00AA0FFB">
        <w:rPr>
          <w:b/>
          <w:bCs/>
          <w:sz w:val="28"/>
          <w:szCs w:val="28"/>
        </w:rPr>
        <w:t>Veintisiete</w:t>
      </w:r>
      <w:r w:rsidRPr="00AA0FFB">
        <w:rPr>
          <w:b/>
          <w:bCs/>
          <w:sz w:val="28"/>
          <w:szCs w:val="28"/>
        </w:rPr>
        <w:t xml:space="preserve"> </w:t>
      </w:r>
      <w:r w:rsidR="002875C6" w:rsidRPr="00AA0FFB">
        <w:rPr>
          <w:b/>
          <w:bCs/>
          <w:sz w:val="28"/>
          <w:szCs w:val="28"/>
        </w:rPr>
        <w:t xml:space="preserve">del artículo único </w:t>
      </w:r>
      <w:r w:rsidRPr="00AA0FFB">
        <w:rPr>
          <w:b/>
          <w:bCs/>
          <w:sz w:val="28"/>
          <w:szCs w:val="28"/>
        </w:rPr>
        <w:t>de la Ley</w:t>
      </w:r>
    </w:p>
    <w:p w:rsidR="00F20B93" w:rsidRPr="00AA0FFB" w:rsidRDefault="00F20B93" w:rsidP="00C10007">
      <w:pPr>
        <w:pStyle w:val="Default"/>
        <w:jc w:val="both"/>
        <w:rPr>
          <w:b/>
          <w:bCs/>
          <w:sz w:val="28"/>
          <w:szCs w:val="28"/>
        </w:rPr>
      </w:pPr>
    </w:p>
    <w:p w:rsidR="00F20B93" w:rsidRPr="00AA0FFB" w:rsidRDefault="00F20B93" w:rsidP="00C10007">
      <w:pPr>
        <w:pStyle w:val="Default"/>
        <w:jc w:val="both"/>
        <w:rPr>
          <w:sz w:val="28"/>
          <w:szCs w:val="28"/>
        </w:rPr>
      </w:pPr>
      <w:r w:rsidRPr="00AA0FFB">
        <w:rPr>
          <w:sz w:val="28"/>
          <w:szCs w:val="28"/>
        </w:rPr>
        <w:t xml:space="preserve">Se modifica el </w:t>
      </w:r>
      <w:r w:rsidR="003B372D" w:rsidRPr="00AA0FFB">
        <w:rPr>
          <w:sz w:val="28"/>
          <w:szCs w:val="28"/>
        </w:rPr>
        <w:t xml:space="preserve">tercer párrafo del </w:t>
      </w:r>
      <w:r w:rsidRPr="00AA0FFB">
        <w:rPr>
          <w:sz w:val="28"/>
          <w:szCs w:val="28"/>
        </w:rPr>
        <w:t xml:space="preserve">apartado 1 del artículo 262 de la LSC, que queda redactado en los siguientes términos: </w:t>
      </w:r>
    </w:p>
    <w:p w:rsidR="009F01EC" w:rsidRPr="00AA0FFB" w:rsidRDefault="009F01EC" w:rsidP="00C10007">
      <w:pPr>
        <w:autoSpaceDE w:val="0"/>
        <w:autoSpaceDN w:val="0"/>
        <w:adjustRightInd w:val="0"/>
        <w:jc w:val="both"/>
        <w:rPr>
          <w:rFonts w:ascii="Arial" w:hAnsi="Arial" w:cs="Arial"/>
          <w:sz w:val="28"/>
          <w:szCs w:val="28"/>
        </w:rPr>
      </w:pPr>
    </w:p>
    <w:p w:rsidR="003B372D" w:rsidRPr="00AA0FFB" w:rsidRDefault="003B372D" w:rsidP="003B372D">
      <w:pPr>
        <w:pStyle w:val="Pa17"/>
        <w:ind w:left="284" w:right="284"/>
        <w:jc w:val="both"/>
        <w:rPr>
          <w:rFonts w:cs="Arial"/>
          <w:i/>
          <w:color w:val="000000"/>
          <w:sz w:val="28"/>
          <w:szCs w:val="28"/>
        </w:rPr>
      </w:pPr>
      <w:r w:rsidRPr="00AA0FFB">
        <w:rPr>
          <w:rFonts w:cs="Arial"/>
          <w:i/>
          <w:color w:val="000000"/>
          <w:sz w:val="28"/>
          <w:szCs w:val="28"/>
        </w:rPr>
        <w:t>En la medida necesaria para la comprensión de la evolución, los resultados o la situación de la sociedad, este análisis incluirá tanto indicadores clave financieros como, cuando proceda, de carácter no financiero, que sean pertinentes respecto de la actividad empresarial concreta, incluida información sobre cuestiones relativas al medio ambiente y al personal</w:t>
      </w:r>
      <w:r w:rsidRPr="00AA0FFB">
        <w:rPr>
          <w:rFonts w:cs="Arial"/>
          <w:b/>
          <w:i/>
          <w:sz w:val="28"/>
          <w:szCs w:val="28"/>
        </w:rPr>
        <w:t xml:space="preserve"> y al cumplimiento de reglas en materia de igualdad y no discriminación</w:t>
      </w:r>
      <w:r w:rsidRPr="00AA0FFB">
        <w:rPr>
          <w:rFonts w:cs="Arial"/>
          <w:i/>
          <w:color w:val="000000"/>
          <w:sz w:val="28"/>
          <w:szCs w:val="28"/>
        </w:rPr>
        <w:t>. Se exceptúa de la obligación de incluir información de carácter no financiero, a las sociedades que puedan presentar cuenta de pérdidas y ganancias abreviada.</w:t>
      </w:r>
    </w:p>
    <w:p w:rsidR="003B372D" w:rsidRPr="00AA0FFB" w:rsidRDefault="003B372D" w:rsidP="003B372D">
      <w:pPr>
        <w:pStyle w:val="Pa17"/>
        <w:ind w:left="284" w:right="284"/>
        <w:jc w:val="both"/>
        <w:rPr>
          <w:rFonts w:cs="Arial"/>
          <w:i/>
          <w:color w:val="000000"/>
          <w:sz w:val="28"/>
          <w:szCs w:val="28"/>
        </w:rPr>
      </w:pPr>
    </w:p>
    <w:p w:rsidR="00F20B93" w:rsidRPr="00AA0FFB" w:rsidRDefault="00F20B93" w:rsidP="00C10007">
      <w:pPr>
        <w:pStyle w:val="Default"/>
        <w:jc w:val="both"/>
        <w:rPr>
          <w:b/>
          <w:bCs/>
          <w:sz w:val="28"/>
          <w:szCs w:val="28"/>
        </w:rPr>
      </w:pPr>
    </w:p>
    <w:p w:rsidR="00F20B93" w:rsidRPr="00AA0FFB" w:rsidRDefault="00F20B93" w:rsidP="00C10007">
      <w:pPr>
        <w:pStyle w:val="Default"/>
        <w:jc w:val="both"/>
        <w:rPr>
          <w:b/>
          <w:bCs/>
          <w:sz w:val="28"/>
          <w:szCs w:val="28"/>
        </w:rPr>
      </w:pPr>
      <w:r w:rsidRPr="00AA0FFB">
        <w:rPr>
          <w:b/>
          <w:bCs/>
          <w:sz w:val="28"/>
          <w:szCs w:val="28"/>
        </w:rPr>
        <w:t xml:space="preserve">PROPUESTA 3. Apartado </w:t>
      </w:r>
      <w:r w:rsidR="002875C6" w:rsidRPr="00AA0FFB">
        <w:rPr>
          <w:b/>
          <w:bCs/>
          <w:sz w:val="28"/>
          <w:szCs w:val="28"/>
        </w:rPr>
        <w:t>Treinta y</w:t>
      </w:r>
      <w:r w:rsidR="00DA4DEA" w:rsidRPr="00AA0FFB">
        <w:rPr>
          <w:b/>
          <w:bCs/>
          <w:sz w:val="28"/>
          <w:szCs w:val="28"/>
        </w:rPr>
        <w:t xml:space="preserve"> tres del artículo único</w:t>
      </w:r>
      <w:r w:rsidR="002875C6" w:rsidRPr="00AA0FFB">
        <w:rPr>
          <w:b/>
          <w:bCs/>
          <w:sz w:val="28"/>
          <w:szCs w:val="28"/>
        </w:rPr>
        <w:t xml:space="preserve"> </w:t>
      </w:r>
      <w:r w:rsidRPr="00AA0FFB">
        <w:rPr>
          <w:b/>
          <w:bCs/>
          <w:sz w:val="28"/>
          <w:szCs w:val="28"/>
        </w:rPr>
        <w:t>de la Ley</w:t>
      </w:r>
    </w:p>
    <w:p w:rsidR="00F20B93" w:rsidRPr="00AA0FFB" w:rsidRDefault="00F20B93" w:rsidP="00C10007">
      <w:pPr>
        <w:pStyle w:val="Default"/>
        <w:jc w:val="both"/>
        <w:rPr>
          <w:b/>
          <w:bCs/>
          <w:sz w:val="28"/>
          <w:szCs w:val="28"/>
        </w:rPr>
      </w:pPr>
    </w:p>
    <w:p w:rsidR="00F20B93" w:rsidRPr="00AA0FFB" w:rsidRDefault="003B372D" w:rsidP="00C10007">
      <w:pPr>
        <w:pStyle w:val="Default"/>
        <w:jc w:val="both"/>
        <w:rPr>
          <w:sz w:val="28"/>
          <w:szCs w:val="28"/>
        </w:rPr>
      </w:pPr>
      <w:r w:rsidRPr="00AA0FFB">
        <w:rPr>
          <w:sz w:val="28"/>
          <w:szCs w:val="28"/>
        </w:rPr>
        <w:t>Se añade una letra g) al</w:t>
      </w:r>
      <w:r w:rsidR="002875C6" w:rsidRPr="00AA0FFB">
        <w:rPr>
          <w:sz w:val="28"/>
          <w:szCs w:val="28"/>
        </w:rPr>
        <w:t xml:space="preserve"> artículo</w:t>
      </w:r>
      <w:r w:rsidR="00F20B93" w:rsidRPr="00AA0FFB">
        <w:rPr>
          <w:sz w:val="28"/>
          <w:szCs w:val="28"/>
        </w:rPr>
        <w:t xml:space="preserve"> 518 </w:t>
      </w:r>
      <w:r w:rsidR="00C10007" w:rsidRPr="00AA0FFB">
        <w:rPr>
          <w:sz w:val="28"/>
          <w:szCs w:val="28"/>
        </w:rPr>
        <w:t>de la LSC</w:t>
      </w:r>
      <w:r w:rsidRPr="00AA0FFB">
        <w:rPr>
          <w:sz w:val="28"/>
          <w:szCs w:val="28"/>
        </w:rPr>
        <w:t>,</w:t>
      </w:r>
      <w:r w:rsidR="00C10007" w:rsidRPr="00AA0FFB">
        <w:rPr>
          <w:sz w:val="28"/>
          <w:szCs w:val="28"/>
        </w:rPr>
        <w:t xml:space="preserve"> </w:t>
      </w:r>
      <w:r w:rsidRPr="00AA0FFB">
        <w:rPr>
          <w:sz w:val="28"/>
          <w:szCs w:val="28"/>
        </w:rPr>
        <w:t>con el siguiente texto</w:t>
      </w:r>
      <w:r w:rsidR="00F20B93" w:rsidRPr="00AA0FFB">
        <w:rPr>
          <w:sz w:val="28"/>
          <w:szCs w:val="28"/>
        </w:rPr>
        <w:t>:</w:t>
      </w:r>
    </w:p>
    <w:p w:rsidR="002875C6" w:rsidRPr="00AA0FFB" w:rsidRDefault="002875C6" w:rsidP="00C10007">
      <w:pPr>
        <w:autoSpaceDE w:val="0"/>
        <w:autoSpaceDN w:val="0"/>
        <w:adjustRightInd w:val="0"/>
        <w:jc w:val="both"/>
        <w:rPr>
          <w:rFonts w:ascii="Arial" w:hAnsi="Arial" w:cs="Arial"/>
          <w:i/>
          <w:iCs/>
          <w:sz w:val="28"/>
          <w:szCs w:val="28"/>
        </w:rPr>
      </w:pPr>
    </w:p>
    <w:p w:rsidR="002875C6" w:rsidRPr="00AA0FFB" w:rsidRDefault="002875C6" w:rsidP="00DA4DEA">
      <w:pPr>
        <w:autoSpaceDE w:val="0"/>
        <w:autoSpaceDN w:val="0"/>
        <w:adjustRightInd w:val="0"/>
        <w:ind w:left="284" w:right="284"/>
        <w:jc w:val="both"/>
        <w:rPr>
          <w:rFonts w:ascii="Arial" w:hAnsi="Arial" w:cs="Arial"/>
          <w:i/>
          <w:sz w:val="28"/>
          <w:szCs w:val="28"/>
        </w:rPr>
      </w:pPr>
      <w:r w:rsidRPr="00AA0FFB">
        <w:rPr>
          <w:rFonts w:ascii="Arial" w:hAnsi="Arial" w:cs="Arial"/>
          <w:i/>
          <w:sz w:val="28"/>
          <w:szCs w:val="28"/>
        </w:rPr>
        <w:t>Desde la publicación del anuncio de convocatoria y hasta la celebración de la junta general, la sociedad deberá publicar ininterrumpidamente en su página web, al menos, la siguiente información:</w:t>
      </w:r>
    </w:p>
    <w:p w:rsidR="002875C6" w:rsidRPr="00AA0FFB" w:rsidRDefault="002875C6" w:rsidP="00DA4DEA">
      <w:pPr>
        <w:autoSpaceDE w:val="0"/>
        <w:autoSpaceDN w:val="0"/>
        <w:adjustRightInd w:val="0"/>
        <w:ind w:left="284" w:right="284"/>
        <w:jc w:val="both"/>
        <w:rPr>
          <w:rFonts w:ascii="Arial" w:hAnsi="Arial" w:cs="Arial"/>
          <w:i/>
          <w:sz w:val="28"/>
          <w:szCs w:val="28"/>
        </w:rPr>
      </w:pPr>
    </w:p>
    <w:p w:rsidR="003B372D" w:rsidRPr="00AA0FFB" w:rsidRDefault="003B372D" w:rsidP="00DA4DEA">
      <w:pPr>
        <w:autoSpaceDE w:val="0"/>
        <w:autoSpaceDN w:val="0"/>
        <w:adjustRightInd w:val="0"/>
        <w:ind w:left="284" w:right="284"/>
        <w:jc w:val="both"/>
        <w:rPr>
          <w:rFonts w:ascii="Arial" w:hAnsi="Arial" w:cs="Arial"/>
          <w:i/>
          <w:sz w:val="28"/>
          <w:szCs w:val="28"/>
        </w:rPr>
      </w:pPr>
      <w:r w:rsidRPr="00AA0FFB">
        <w:rPr>
          <w:rFonts w:ascii="Arial" w:hAnsi="Arial" w:cs="Arial"/>
          <w:i/>
          <w:sz w:val="28"/>
          <w:szCs w:val="28"/>
        </w:rPr>
        <w:t>...</w:t>
      </w:r>
    </w:p>
    <w:p w:rsidR="00F20B93" w:rsidRPr="00AA0FFB" w:rsidRDefault="002875C6" w:rsidP="00DA4DEA">
      <w:pPr>
        <w:autoSpaceDE w:val="0"/>
        <w:autoSpaceDN w:val="0"/>
        <w:adjustRightInd w:val="0"/>
        <w:ind w:left="284" w:right="284"/>
        <w:jc w:val="both"/>
        <w:rPr>
          <w:rFonts w:ascii="Arial" w:hAnsi="Arial" w:cs="Arial"/>
          <w:i/>
          <w:sz w:val="28"/>
          <w:szCs w:val="28"/>
        </w:rPr>
      </w:pPr>
      <w:r w:rsidRPr="00AA0FFB">
        <w:rPr>
          <w:rFonts w:ascii="Arial" w:hAnsi="Arial" w:cs="Arial"/>
          <w:b/>
          <w:i/>
          <w:sz w:val="28"/>
          <w:szCs w:val="28"/>
        </w:rPr>
        <w:t>g)</w:t>
      </w:r>
      <w:r w:rsidRPr="00AA0FFB">
        <w:rPr>
          <w:rFonts w:ascii="Arial" w:hAnsi="Arial" w:cs="Arial"/>
          <w:i/>
          <w:sz w:val="28"/>
          <w:szCs w:val="28"/>
        </w:rPr>
        <w:t xml:space="preserve"> </w:t>
      </w:r>
      <w:r w:rsidR="00F20B93" w:rsidRPr="00AA0FFB">
        <w:rPr>
          <w:rFonts w:ascii="Arial" w:hAnsi="Arial" w:cs="Arial"/>
          <w:b/>
          <w:i/>
          <w:sz w:val="28"/>
          <w:szCs w:val="28"/>
        </w:rPr>
        <w:t>Asimismo, la sociedad deberá dar cobertura a los requisitos de accesibilidad de las personas con discapacidad o personas mayores que garanticen su derecho a disponer de información previa, y a ejercer su voto, en igualdad de condiciones que el resto de los accionistas.</w:t>
      </w:r>
    </w:p>
    <w:p w:rsidR="00F20B93" w:rsidRPr="00AA0FFB" w:rsidRDefault="00F20B93" w:rsidP="00DA4DEA">
      <w:pPr>
        <w:ind w:left="284" w:right="284"/>
        <w:jc w:val="both"/>
        <w:rPr>
          <w:rFonts w:ascii="Arial" w:hAnsi="Arial" w:cs="Arial"/>
          <w:i/>
          <w:sz w:val="28"/>
          <w:szCs w:val="28"/>
        </w:rPr>
      </w:pPr>
    </w:p>
    <w:p w:rsidR="00F20B93" w:rsidRPr="00AA0FFB" w:rsidRDefault="00F20B93" w:rsidP="00C10007">
      <w:pPr>
        <w:pStyle w:val="Default"/>
        <w:jc w:val="both"/>
        <w:rPr>
          <w:b/>
          <w:bCs/>
          <w:i/>
          <w:sz w:val="28"/>
          <w:szCs w:val="28"/>
        </w:rPr>
      </w:pPr>
    </w:p>
    <w:p w:rsidR="00F20B93" w:rsidRPr="00AA0FFB" w:rsidRDefault="00F20B93" w:rsidP="00C10007">
      <w:pPr>
        <w:pStyle w:val="Default"/>
        <w:jc w:val="both"/>
        <w:rPr>
          <w:b/>
          <w:bCs/>
          <w:sz w:val="28"/>
          <w:szCs w:val="28"/>
        </w:rPr>
      </w:pPr>
      <w:r w:rsidRPr="00AA0FFB">
        <w:rPr>
          <w:b/>
          <w:bCs/>
          <w:sz w:val="28"/>
          <w:szCs w:val="28"/>
        </w:rPr>
        <w:t xml:space="preserve">PROPUESTA 4. Apartado </w:t>
      </w:r>
      <w:r w:rsidR="002875C6" w:rsidRPr="00AA0FFB">
        <w:rPr>
          <w:b/>
          <w:bCs/>
          <w:sz w:val="28"/>
          <w:szCs w:val="28"/>
        </w:rPr>
        <w:t>Cuarenta del artículo único</w:t>
      </w:r>
      <w:r w:rsidRPr="00AA0FFB">
        <w:rPr>
          <w:b/>
          <w:bCs/>
          <w:sz w:val="28"/>
          <w:szCs w:val="28"/>
        </w:rPr>
        <w:t xml:space="preserve"> de la Ley</w:t>
      </w:r>
    </w:p>
    <w:p w:rsidR="00F20B93" w:rsidRPr="00AA0FFB" w:rsidRDefault="00F20B93" w:rsidP="00C10007">
      <w:pPr>
        <w:pStyle w:val="Default"/>
        <w:jc w:val="both"/>
        <w:rPr>
          <w:b/>
          <w:bCs/>
          <w:sz w:val="28"/>
          <w:szCs w:val="28"/>
        </w:rPr>
      </w:pPr>
    </w:p>
    <w:p w:rsidR="00F20B93" w:rsidRPr="00AA0FFB" w:rsidRDefault="00F20B93" w:rsidP="00C10007">
      <w:pPr>
        <w:pStyle w:val="Default"/>
        <w:jc w:val="both"/>
        <w:rPr>
          <w:sz w:val="28"/>
          <w:szCs w:val="28"/>
        </w:rPr>
      </w:pPr>
      <w:r w:rsidRPr="00AA0FFB">
        <w:rPr>
          <w:sz w:val="28"/>
          <w:szCs w:val="28"/>
        </w:rPr>
        <w:lastRenderedPageBreak/>
        <w:t xml:space="preserve">El Artículo 529 bis </w:t>
      </w:r>
      <w:r w:rsidR="00DA4DEA" w:rsidRPr="00AA0FFB">
        <w:rPr>
          <w:sz w:val="28"/>
          <w:szCs w:val="28"/>
        </w:rPr>
        <w:t xml:space="preserve">2 </w:t>
      </w:r>
      <w:r w:rsidRPr="00AA0FFB">
        <w:rPr>
          <w:sz w:val="28"/>
          <w:szCs w:val="28"/>
        </w:rPr>
        <w:t>de la LSC queda redactado de la forma siguiente:</w:t>
      </w:r>
    </w:p>
    <w:p w:rsidR="00F20B93" w:rsidRPr="00AA0FFB" w:rsidRDefault="00F20B93" w:rsidP="00C10007">
      <w:pPr>
        <w:pStyle w:val="Default"/>
        <w:jc w:val="both"/>
        <w:rPr>
          <w:sz w:val="28"/>
          <w:szCs w:val="28"/>
        </w:rPr>
      </w:pPr>
    </w:p>
    <w:p w:rsidR="00F20B93" w:rsidRPr="00AA0FFB" w:rsidRDefault="00F20B93" w:rsidP="00C10007">
      <w:pPr>
        <w:pStyle w:val="Default"/>
        <w:ind w:left="284" w:right="284"/>
        <w:jc w:val="both"/>
        <w:rPr>
          <w:i/>
          <w:sz w:val="28"/>
          <w:szCs w:val="28"/>
        </w:rPr>
      </w:pPr>
      <w:r w:rsidRPr="00AA0FFB">
        <w:rPr>
          <w:i/>
          <w:sz w:val="28"/>
          <w:szCs w:val="28"/>
        </w:rPr>
        <w:t xml:space="preserve">2. El consejo de administración deberá velar por que los procedimientos de selección de sus miembros favorezcan la diversidad de género </w:t>
      </w:r>
      <w:r w:rsidRPr="00AA0FFB">
        <w:rPr>
          <w:b/>
          <w:i/>
          <w:sz w:val="28"/>
          <w:szCs w:val="28"/>
        </w:rPr>
        <w:t>o por razón de discapacidad</w:t>
      </w:r>
      <w:r w:rsidRPr="00AA0FFB">
        <w:rPr>
          <w:i/>
          <w:sz w:val="28"/>
          <w:szCs w:val="28"/>
        </w:rPr>
        <w:t>, de experiencias y de conocimientos y no adolezcan de sesgos implícitos que puedan implicar discriminación alguna y, en particular, que no obstaculicen la selección de consejeras.</w:t>
      </w:r>
    </w:p>
    <w:p w:rsidR="00F20B93" w:rsidRPr="00AA0FFB" w:rsidRDefault="00F20B93" w:rsidP="00C10007">
      <w:pPr>
        <w:pStyle w:val="Default"/>
        <w:ind w:left="284" w:right="284"/>
        <w:jc w:val="both"/>
        <w:rPr>
          <w:i/>
          <w:sz w:val="28"/>
          <w:szCs w:val="28"/>
        </w:rPr>
      </w:pPr>
    </w:p>
    <w:p w:rsidR="00F20B93" w:rsidRPr="00AA0FFB" w:rsidRDefault="00F20B93" w:rsidP="00C10007">
      <w:pPr>
        <w:pStyle w:val="Default"/>
        <w:jc w:val="both"/>
        <w:rPr>
          <w:b/>
          <w:bCs/>
          <w:sz w:val="28"/>
          <w:szCs w:val="28"/>
        </w:rPr>
      </w:pPr>
    </w:p>
    <w:p w:rsidR="00F20B93" w:rsidRPr="00AA0FFB" w:rsidRDefault="00F20B93" w:rsidP="00C10007">
      <w:pPr>
        <w:pStyle w:val="Default"/>
        <w:jc w:val="both"/>
        <w:rPr>
          <w:b/>
          <w:bCs/>
          <w:sz w:val="28"/>
          <w:szCs w:val="28"/>
        </w:rPr>
      </w:pPr>
      <w:r w:rsidRPr="00AA0FFB">
        <w:rPr>
          <w:b/>
          <w:bCs/>
          <w:sz w:val="28"/>
          <w:szCs w:val="28"/>
        </w:rPr>
        <w:t xml:space="preserve">PROPUESTA 5. Apartado </w:t>
      </w:r>
      <w:r w:rsidR="00C10007" w:rsidRPr="00AA0FFB">
        <w:rPr>
          <w:b/>
          <w:bCs/>
          <w:sz w:val="28"/>
          <w:szCs w:val="28"/>
        </w:rPr>
        <w:t xml:space="preserve">sesenta y uno del artículo único </w:t>
      </w:r>
      <w:r w:rsidRPr="00AA0FFB">
        <w:rPr>
          <w:b/>
          <w:bCs/>
          <w:sz w:val="28"/>
          <w:szCs w:val="28"/>
        </w:rPr>
        <w:t>de la Ley</w:t>
      </w:r>
    </w:p>
    <w:p w:rsidR="00F20B93" w:rsidRPr="00AA0FFB" w:rsidRDefault="00F20B93" w:rsidP="00C10007">
      <w:pPr>
        <w:pStyle w:val="Default"/>
        <w:jc w:val="both"/>
        <w:rPr>
          <w:b/>
          <w:bCs/>
          <w:sz w:val="28"/>
          <w:szCs w:val="28"/>
        </w:rPr>
      </w:pPr>
    </w:p>
    <w:p w:rsidR="00F20B93" w:rsidRPr="00AA0FFB" w:rsidRDefault="00C10007" w:rsidP="00C10007">
      <w:pPr>
        <w:pStyle w:val="Default"/>
        <w:spacing w:before="120" w:after="120"/>
        <w:jc w:val="both"/>
        <w:rPr>
          <w:sz w:val="28"/>
          <w:szCs w:val="28"/>
        </w:rPr>
      </w:pPr>
      <w:r w:rsidRPr="00AA0FFB">
        <w:rPr>
          <w:sz w:val="28"/>
          <w:szCs w:val="28"/>
        </w:rPr>
        <w:t>Se modifica el artículo 540.4.c) 1º y 2º</w:t>
      </w:r>
    </w:p>
    <w:p w:rsidR="00C10007" w:rsidRPr="00AA0FFB" w:rsidRDefault="00C10007" w:rsidP="00C10007">
      <w:pPr>
        <w:autoSpaceDE w:val="0"/>
        <w:autoSpaceDN w:val="0"/>
        <w:adjustRightInd w:val="0"/>
        <w:jc w:val="both"/>
        <w:rPr>
          <w:rFonts w:ascii="Arial" w:hAnsi="Arial" w:cs="Arial"/>
          <w:color w:val="000000"/>
          <w:sz w:val="28"/>
          <w:szCs w:val="28"/>
        </w:rPr>
      </w:pPr>
    </w:p>
    <w:p w:rsidR="00C10007" w:rsidRPr="00AA0FFB" w:rsidRDefault="00C10007" w:rsidP="00DA4DEA">
      <w:pPr>
        <w:autoSpaceDE w:val="0"/>
        <w:autoSpaceDN w:val="0"/>
        <w:adjustRightInd w:val="0"/>
        <w:ind w:left="284" w:right="284"/>
        <w:jc w:val="both"/>
        <w:rPr>
          <w:rFonts w:ascii="Arial" w:hAnsi="Arial" w:cs="Arial"/>
          <w:i/>
          <w:sz w:val="28"/>
          <w:szCs w:val="28"/>
        </w:rPr>
      </w:pPr>
      <w:r w:rsidRPr="00AA0FFB">
        <w:rPr>
          <w:rFonts w:ascii="Arial" w:hAnsi="Arial" w:cs="Arial"/>
          <w:i/>
          <w:sz w:val="28"/>
          <w:szCs w:val="28"/>
        </w:rPr>
        <w:t>4. El contenido y estructura del informe de gobierno corporativo será determinado por el Ministro de Economía y Competitividad o, con su habilitación expresa, por la Comisión Nacional del Mercado de Valores.</w:t>
      </w:r>
    </w:p>
    <w:p w:rsidR="00C10007" w:rsidRPr="00AA0FFB" w:rsidRDefault="00C10007" w:rsidP="00DA4DEA">
      <w:pPr>
        <w:autoSpaceDE w:val="0"/>
        <w:autoSpaceDN w:val="0"/>
        <w:adjustRightInd w:val="0"/>
        <w:ind w:left="284" w:right="284"/>
        <w:jc w:val="both"/>
        <w:rPr>
          <w:rFonts w:ascii="Arial" w:hAnsi="Arial" w:cs="Arial"/>
          <w:i/>
          <w:sz w:val="28"/>
          <w:szCs w:val="28"/>
        </w:rPr>
      </w:pPr>
    </w:p>
    <w:p w:rsidR="00F20B93" w:rsidRPr="00AA0FFB" w:rsidRDefault="00C10007" w:rsidP="00DA4DEA">
      <w:pPr>
        <w:autoSpaceDE w:val="0"/>
        <w:autoSpaceDN w:val="0"/>
        <w:adjustRightInd w:val="0"/>
        <w:ind w:left="284" w:right="284"/>
        <w:jc w:val="both"/>
        <w:rPr>
          <w:rFonts w:ascii="Arial" w:hAnsi="Arial" w:cs="Arial"/>
          <w:i/>
          <w:sz w:val="28"/>
          <w:szCs w:val="28"/>
        </w:rPr>
      </w:pPr>
      <w:r w:rsidRPr="00AA0FFB">
        <w:rPr>
          <w:rFonts w:ascii="Arial" w:hAnsi="Arial" w:cs="Arial"/>
          <w:i/>
          <w:sz w:val="28"/>
          <w:szCs w:val="28"/>
        </w:rPr>
        <w:t xml:space="preserve">Dicho informe deberá ofrecer una explicación detallada de la estructura del sistema de gobierno de la sociedad y de su funcionamiento en la práctica. En todo caso, el contenido mínimo del informe de gobierno corporativo será el siguiente: </w:t>
      </w:r>
      <w:r w:rsidR="00F20B93" w:rsidRPr="00AA0FFB">
        <w:rPr>
          <w:rFonts w:ascii="Arial" w:hAnsi="Arial" w:cs="Arial"/>
          <w:i/>
          <w:sz w:val="28"/>
          <w:szCs w:val="28"/>
        </w:rPr>
        <w:t>[</w:t>
      </w:r>
      <w:r w:rsidR="00EA41A3" w:rsidRPr="00AA0FFB">
        <w:rPr>
          <w:rFonts w:ascii="Arial" w:hAnsi="Arial" w:cs="Arial"/>
          <w:i/>
          <w:sz w:val="28"/>
          <w:szCs w:val="28"/>
        </w:rPr>
        <w:t>...]</w:t>
      </w:r>
    </w:p>
    <w:p w:rsidR="00F20B93" w:rsidRPr="00AA0FFB" w:rsidRDefault="00F20B93" w:rsidP="00DA4DEA">
      <w:pPr>
        <w:pStyle w:val="Default"/>
        <w:spacing w:before="120" w:after="120"/>
        <w:ind w:left="284" w:right="284"/>
        <w:jc w:val="both"/>
        <w:rPr>
          <w:i/>
          <w:sz w:val="28"/>
          <w:szCs w:val="28"/>
        </w:rPr>
      </w:pPr>
      <w:r w:rsidRPr="00AA0FFB">
        <w:rPr>
          <w:i/>
          <w:sz w:val="28"/>
          <w:szCs w:val="28"/>
        </w:rPr>
        <w:t xml:space="preserve">c) Estructura de la administración de la sociedad, que habrá de incluir: </w:t>
      </w:r>
    </w:p>
    <w:p w:rsidR="00F20B93" w:rsidRPr="00AA0FFB" w:rsidRDefault="00F20B93" w:rsidP="00DA4DEA">
      <w:pPr>
        <w:pStyle w:val="Default"/>
        <w:spacing w:before="120" w:after="120"/>
        <w:ind w:left="284" w:right="284"/>
        <w:jc w:val="both"/>
        <w:rPr>
          <w:i/>
          <w:sz w:val="28"/>
          <w:szCs w:val="28"/>
        </w:rPr>
      </w:pPr>
      <w:r w:rsidRPr="00AA0FFB">
        <w:rPr>
          <w:i/>
          <w:sz w:val="28"/>
          <w:szCs w:val="28"/>
        </w:rPr>
        <w:t xml:space="preserve">1º información relativa a la composición, </w:t>
      </w:r>
      <w:r w:rsidRPr="00AA0FFB">
        <w:rPr>
          <w:b/>
          <w:i/>
          <w:sz w:val="28"/>
          <w:szCs w:val="28"/>
        </w:rPr>
        <w:t>diversidad</w:t>
      </w:r>
      <w:r w:rsidRPr="00AA0FFB">
        <w:rPr>
          <w:i/>
          <w:sz w:val="28"/>
          <w:szCs w:val="28"/>
        </w:rPr>
        <w:t xml:space="preserve">, reglas de organización y funcionamiento del consejo de administración y de sus comisiones, </w:t>
      </w:r>
    </w:p>
    <w:p w:rsidR="00F20B93" w:rsidRPr="00AA0FFB" w:rsidRDefault="00F20B93" w:rsidP="00DA4DEA">
      <w:pPr>
        <w:pStyle w:val="Default"/>
        <w:spacing w:before="120" w:after="120"/>
        <w:ind w:left="284" w:right="284"/>
        <w:jc w:val="both"/>
        <w:rPr>
          <w:i/>
          <w:sz w:val="28"/>
          <w:szCs w:val="28"/>
        </w:rPr>
      </w:pPr>
      <w:r w:rsidRPr="00AA0FFB">
        <w:rPr>
          <w:i/>
          <w:sz w:val="28"/>
          <w:szCs w:val="28"/>
        </w:rPr>
        <w:t xml:space="preserve">2º identidad y remuneración de sus miembros, funciones y cargos dentro de la sociedad, sus relaciones con accionistas con participaciones significativas, indicando la existencia de consejeros cruzados o vinculados y los procedimientos de selección, remoción o reelección, </w:t>
      </w:r>
      <w:r w:rsidRPr="00AA0FFB">
        <w:rPr>
          <w:b/>
          <w:i/>
          <w:sz w:val="28"/>
          <w:szCs w:val="28"/>
        </w:rPr>
        <w:t>incluyendo condiciones en materia de igualdad y no discriminación</w:t>
      </w:r>
      <w:r w:rsidRPr="00AA0FFB">
        <w:rPr>
          <w:i/>
          <w:sz w:val="28"/>
          <w:szCs w:val="28"/>
        </w:rPr>
        <w:t>.</w:t>
      </w:r>
    </w:p>
    <w:p w:rsidR="00DA4DEA" w:rsidRPr="00AA0FFB" w:rsidRDefault="00EA10FF" w:rsidP="00D4216C">
      <w:pPr>
        <w:jc w:val="right"/>
        <w:rPr>
          <w:rFonts w:ascii="Arial" w:hAnsi="Arial" w:cs="Arial"/>
          <w:sz w:val="28"/>
          <w:szCs w:val="28"/>
        </w:rPr>
      </w:pPr>
      <w:r w:rsidRPr="00AA0FFB">
        <w:rPr>
          <w:rFonts w:ascii="Arial" w:hAnsi="Arial" w:cs="Arial"/>
          <w:sz w:val="28"/>
          <w:szCs w:val="28"/>
        </w:rPr>
        <w:tab/>
      </w:r>
      <w:r w:rsidRPr="00AA0FFB">
        <w:rPr>
          <w:rFonts w:ascii="Arial" w:hAnsi="Arial" w:cs="Arial"/>
          <w:sz w:val="28"/>
          <w:szCs w:val="28"/>
        </w:rPr>
        <w:tab/>
      </w:r>
      <w:r w:rsidRPr="00AA0FFB">
        <w:rPr>
          <w:rFonts w:ascii="Arial" w:hAnsi="Arial" w:cs="Arial"/>
          <w:sz w:val="28"/>
          <w:szCs w:val="28"/>
        </w:rPr>
        <w:tab/>
      </w:r>
      <w:r w:rsidRPr="00AA0FFB">
        <w:rPr>
          <w:rFonts w:ascii="Arial" w:hAnsi="Arial" w:cs="Arial"/>
          <w:sz w:val="28"/>
          <w:szCs w:val="28"/>
        </w:rPr>
        <w:tab/>
      </w:r>
      <w:r w:rsidRPr="00AA0FFB">
        <w:rPr>
          <w:rFonts w:ascii="Arial" w:hAnsi="Arial" w:cs="Arial"/>
          <w:sz w:val="28"/>
          <w:szCs w:val="28"/>
        </w:rPr>
        <w:tab/>
      </w:r>
      <w:r w:rsidRPr="00AA0FFB">
        <w:rPr>
          <w:rFonts w:ascii="Arial" w:hAnsi="Arial" w:cs="Arial"/>
          <w:sz w:val="28"/>
          <w:szCs w:val="28"/>
        </w:rPr>
        <w:tab/>
      </w:r>
      <w:r w:rsidR="002818A3" w:rsidRPr="00AA0FFB">
        <w:rPr>
          <w:rFonts w:ascii="Arial" w:hAnsi="Arial" w:cs="Arial"/>
          <w:sz w:val="28"/>
          <w:szCs w:val="28"/>
        </w:rPr>
        <w:t>15 de octubre de 2014</w:t>
      </w:r>
      <w:r w:rsidR="00D4216C" w:rsidRPr="00AA0FFB">
        <w:rPr>
          <w:rFonts w:ascii="Arial" w:hAnsi="Arial" w:cs="Arial"/>
          <w:sz w:val="28"/>
          <w:szCs w:val="28"/>
        </w:rPr>
        <w:t>.</w:t>
      </w:r>
    </w:p>
    <w:p w:rsidR="00D4216C" w:rsidRPr="00AA0FFB" w:rsidRDefault="00D4216C" w:rsidP="00D4216C">
      <w:pPr>
        <w:jc w:val="right"/>
        <w:rPr>
          <w:rFonts w:ascii="Arial" w:hAnsi="Arial" w:cs="Arial"/>
          <w:sz w:val="28"/>
          <w:szCs w:val="28"/>
        </w:rPr>
      </w:pPr>
    </w:p>
    <w:p w:rsidR="00D4216C" w:rsidRPr="00AA0FFB" w:rsidRDefault="00D4216C" w:rsidP="00D4216C">
      <w:pPr>
        <w:jc w:val="center"/>
        <w:rPr>
          <w:rFonts w:ascii="Arial" w:hAnsi="Arial" w:cs="Arial"/>
          <w:b/>
          <w:sz w:val="28"/>
          <w:szCs w:val="28"/>
        </w:rPr>
      </w:pPr>
      <w:r w:rsidRPr="00AA0FFB">
        <w:rPr>
          <w:rFonts w:ascii="Arial" w:hAnsi="Arial" w:cs="Arial"/>
          <w:b/>
          <w:sz w:val="28"/>
          <w:szCs w:val="28"/>
        </w:rPr>
        <w:t>CERMI</w:t>
      </w:r>
    </w:p>
    <w:p w:rsidR="00D4216C" w:rsidRPr="00AA0FFB" w:rsidRDefault="00D4216C" w:rsidP="00AA0FFB">
      <w:pPr>
        <w:jc w:val="center"/>
        <w:rPr>
          <w:rFonts w:ascii="Arial" w:hAnsi="Arial" w:cs="Arial"/>
          <w:sz w:val="28"/>
          <w:szCs w:val="28"/>
        </w:rPr>
      </w:pPr>
      <w:hyperlink r:id="rId10" w:history="1">
        <w:r w:rsidRPr="00AA0FFB">
          <w:rPr>
            <w:rStyle w:val="Hipervnculo"/>
            <w:rFonts w:ascii="Arial" w:hAnsi="Arial" w:cs="Arial"/>
            <w:b/>
            <w:sz w:val="28"/>
            <w:szCs w:val="28"/>
          </w:rPr>
          <w:t>www.cermi.es</w:t>
        </w:r>
      </w:hyperlink>
    </w:p>
    <w:sectPr w:rsidR="00D4216C" w:rsidRPr="00AA0FFB">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951" w:rsidRDefault="00885951">
      <w:r>
        <w:separator/>
      </w:r>
    </w:p>
  </w:endnote>
  <w:endnote w:type="continuationSeparator" w:id="1">
    <w:p w:rsidR="00885951" w:rsidRDefault="00885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29" w:rsidRDefault="004D7129" w:rsidP="00B267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7129" w:rsidRDefault="004D7129" w:rsidP="004D712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29" w:rsidRDefault="004D7129" w:rsidP="00B267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4498">
      <w:rPr>
        <w:rStyle w:val="Nmerodepgina"/>
        <w:noProof/>
      </w:rPr>
      <w:t>1</w:t>
    </w:r>
    <w:r>
      <w:rPr>
        <w:rStyle w:val="Nmerodepgina"/>
      </w:rPr>
      <w:fldChar w:fldCharType="end"/>
    </w:r>
  </w:p>
  <w:p w:rsidR="004D7129" w:rsidRDefault="004D7129" w:rsidP="004D712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951" w:rsidRDefault="00885951">
      <w:r>
        <w:separator/>
      </w:r>
    </w:p>
  </w:footnote>
  <w:footnote w:type="continuationSeparator" w:id="1">
    <w:p w:rsidR="00885951" w:rsidRDefault="008859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901CCD"/>
    <w:rsid w:val="00262952"/>
    <w:rsid w:val="002818A3"/>
    <w:rsid w:val="002875C6"/>
    <w:rsid w:val="0038547E"/>
    <w:rsid w:val="003B372D"/>
    <w:rsid w:val="003E174B"/>
    <w:rsid w:val="004D4498"/>
    <w:rsid w:val="004D7129"/>
    <w:rsid w:val="004F1730"/>
    <w:rsid w:val="007A0B76"/>
    <w:rsid w:val="00885951"/>
    <w:rsid w:val="00901CCD"/>
    <w:rsid w:val="009F01EC"/>
    <w:rsid w:val="00AA0FFB"/>
    <w:rsid w:val="00AD7635"/>
    <w:rsid w:val="00B267F6"/>
    <w:rsid w:val="00B343C1"/>
    <w:rsid w:val="00C10007"/>
    <w:rsid w:val="00D4216C"/>
    <w:rsid w:val="00DA4DEA"/>
    <w:rsid w:val="00EA10FF"/>
    <w:rsid w:val="00EA41A3"/>
    <w:rsid w:val="00EB4A37"/>
    <w:rsid w:val="00F20B93"/>
    <w:rsid w:val="00F5151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B93"/>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rsid w:val="00F20B93"/>
    <w:pPr>
      <w:autoSpaceDE w:val="0"/>
      <w:autoSpaceDN w:val="0"/>
      <w:adjustRightInd w:val="0"/>
    </w:pPr>
    <w:rPr>
      <w:rFonts w:ascii="Arial" w:hAnsi="Arial" w:cs="Arial"/>
      <w:color w:val="000000"/>
      <w:sz w:val="24"/>
      <w:szCs w:val="24"/>
    </w:rPr>
  </w:style>
  <w:style w:type="paragraph" w:customStyle="1" w:styleId="Pa26">
    <w:name w:val="Pa26"/>
    <w:basedOn w:val="Default"/>
    <w:next w:val="Default"/>
    <w:rsid w:val="007A0B76"/>
    <w:pPr>
      <w:spacing w:line="201" w:lineRule="atLeast"/>
    </w:pPr>
    <w:rPr>
      <w:rFonts w:cs="Times New Roman"/>
      <w:color w:val="auto"/>
    </w:rPr>
  </w:style>
  <w:style w:type="paragraph" w:customStyle="1" w:styleId="Pa18">
    <w:name w:val="Pa18"/>
    <w:basedOn w:val="Default"/>
    <w:next w:val="Default"/>
    <w:rsid w:val="003B372D"/>
    <w:pPr>
      <w:spacing w:line="201" w:lineRule="atLeast"/>
    </w:pPr>
    <w:rPr>
      <w:rFonts w:cs="Times New Roman"/>
      <w:color w:val="auto"/>
    </w:rPr>
  </w:style>
  <w:style w:type="paragraph" w:customStyle="1" w:styleId="Pa17">
    <w:name w:val="Pa17"/>
    <w:basedOn w:val="Default"/>
    <w:next w:val="Default"/>
    <w:rsid w:val="003B372D"/>
    <w:pPr>
      <w:spacing w:line="201" w:lineRule="atLeast"/>
    </w:pPr>
    <w:rPr>
      <w:rFonts w:cs="Times New Roman"/>
      <w:color w:val="auto"/>
    </w:rPr>
  </w:style>
  <w:style w:type="paragraph" w:styleId="Piedepgina">
    <w:name w:val="footer"/>
    <w:basedOn w:val="Normal"/>
    <w:rsid w:val="004D7129"/>
    <w:pPr>
      <w:tabs>
        <w:tab w:val="center" w:pos="4252"/>
        <w:tab w:val="right" w:pos="8504"/>
      </w:tabs>
    </w:pPr>
  </w:style>
  <w:style w:type="character" w:styleId="Nmerodepgina">
    <w:name w:val="page number"/>
    <w:basedOn w:val="Fuentedeprrafopredeter"/>
    <w:rsid w:val="004D7129"/>
  </w:style>
  <w:style w:type="character" w:styleId="Hipervnculo">
    <w:name w:val="Hyperlink"/>
    <w:basedOn w:val="Fuentedeprrafopredeter"/>
    <w:rsid w:val="00D4216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ermi.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711AE7A-B663-4C76-BFAC-48FD961657CC}">
  <ds:schemaRefs>
    <ds:schemaRef ds:uri="http://schemas.microsoft.com/sharepoint/v3/contenttype/forms"/>
  </ds:schemaRefs>
</ds:datastoreItem>
</file>

<file path=customXml/itemProps2.xml><?xml version="1.0" encoding="utf-8"?>
<ds:datastoreItem xmlns:ds="http://schemas.openxmlformats.org/officeDocument/2006/customXml" ds:itemID="{48905E08-B94B-4F36-A6B0-61E249EACC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01D98A5-4779-4D0A-ADF4-48CBDE534BD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1028</Words>
  <Characters>5659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PROYECTO DE LEY POR EL QUE SE MODIFICA LA LEY DE SOCIEDADES DE CAPITAL PARA LA MEJORA DEL GOBIERNO CORPORATIVO</vt:lpstr>
    </vt:vector>
  </TitlesOfParts>
  <Company>Hewlett-Packard Company</Company>
  <LinksUpToDate>false</LinksUpToDate>
  <CharactersWithSpaces>6674</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POR EL QUE SE MODIFICA LA LEY DE SOCIEDADES DE CAPITAL PARA LA MEJORA DEL GOBIERNO CORPORATIVO</dc:title>
  <dc:subject/>
  <dc:creator>LCPB</dc:creator>
  <cp:keywords/>
  <cp:lastModifiedBy>babella.svm</cp:lastModifiedBy>
  <cp:revision>2</cp:revision>
  <dcterms:created xsi:type="dcterms:W3CDTF">2014-10-16T07:56:00Z</dcterms:created>
  <dcterms:modified xsi:type="dcterms:W3CDTF">2014-10-16T07:56:00Z</dcterms:modified>
</cp:coreProperties>
</file>