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CF" w:rsidRPr="00E673BF" w:rsidRDefault="00E673BF" w:rsidP="00133134">
      <w:pPr>
        <w:pStyle w:val="texto"/>
        <w:pBdr>
          <w:bottom w:val="single" w:sz="12" w:space="1" w:color="auto"/>
        </w:pBdr>
        <w:spacing w:line="276" w:lineRule="auto"/>
        <w:jc w:val="both"/>
        <w:rPr>
          <w:b/>
          <w:sz w:val="28"/>
          <w:szCs w:val="28"/>
        </w:rPr>
      </w:pPr>
      <w:bookmarkStart w:id="0" w:name="_GoBack"/>
      <w:bookmarkEnd w:id="0"/>
      <w:r w:rsidRPr="00E673BF">
        <w:rPr>
          <w:b/>
          <w:sz w:val="28"/>
          <w:szCs w:val="28"/>
        </w:rPr>
        <w:t xml:space="preserve">PROPUESTAS DE CERMI/ACIME EN RELACIÓN </w:t>
      </w:r>
      <w:r>
        <w:rPr>
          <w:b/>
          <w:sz w:val="28"/>
          <w:szCs w:val="28"/>
        </w:rPr>
        <w:t>CON</w:t>
      </w:r>
      <w:r w:rsidRPr="00E673BF">
        <w:rPr>
          <w:b/>
          <w:sz w:val="28"/>
          <w:szCs w:val="28"/>
        </w:rPr>
        <w:t xml:space="preserve"> LA REFORMA DEL RÉGIMEN TRANSITORIO DE LA LEY DE LA CARRERA MILITAR</w:t>
      </w:r>
    </w:p>
    <w:p w:rsidR="001F2ECF" w:rsidRPr="00E673BF" w:rsidRDefault="001F2ECF" w:rsidP="001F2ECF">
      <w:pPr>
        <w:autoSpaceDE w:val="0"/>
        <w:autoSpaceDN w:val="0"/>
        <w:adjustRightInd w:val="0"/>
        <w:spacing w:after="0"/>
        <w:jc w:val="both"/>
        <w:rPr>
          <w:rFonts w:ascii="Times New Roman" w:hAnsi="Times New Roman"/>
          <w:b/>
          <w:color w:val="000000"/>
          <w:sz w:val="28"/>
          <w:szCs w:val="28"/>
          <w:lang w:eastAsia="es-ES"/>
        </w:rPr>
      </w:pPr>
      <w:r w:rsidRPr="00E673BF">
        <w:rPr>
          <w:rFonts w:ascii="Times New Roman" w:hAnsi="Times New Roman"/>
          <w:b/>
          <w:color w:val="000000"/>
          <w:sz w:val="28"/>
          <w:szCs w:val="28"/>
          <w:lang w:eastAsia="es-ES"/>
        </w:rPr>
        <w:t>Justificación</w:t>
      </w:r>
    </w:p>
    <w:p w:rsidR="001F2ECF" w:rsidRPr="00E673BF" w:rsidRDefault="001F2ECF" w:rsidP="001F2ECF">
      <w:pPr>
        <w:autoSpaceDE w:val="0"/>
        <w:autoSpaceDN w:val="0"/>
        <w:adjustRightInd w:val="0"/>
        <w:spacing w:after="0"/>
        <w:jc w:val="both"/>
        <w:rPr>
          <w:rFonts w:ascii="Times New Roman" w:hAnsi="Times New Roman"/>
          <w:color w:val="000000"/>
          <w:sz w:val="28"/>
          <w:szCs w:val="28"/>
          <w:lang w:eastAsia="es-ES"/>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lang w:eastAsia="es-ES"/>
        </w:rPr>
        <w:t xml:space="preserve">Tal y como establece la </w:t>
      </w:r>
      <w:r w:rsidRPr="00E673BF">
        <w:rPr>
          <w:rFonts w:ascii="Times New Roman" w:hAnsi="Times New Roman"/>
          <w:color w:val="000000"/>
          <w:sz w:val="28"/>
          <w:szCs w:val="28"/>
        </w:rPr>
        <w:t xml:space="preserve">Disposición Final Duodécima de la </w:t>
      </w:r>
      <w:r w:rsidRPr="00E673BF">
        <w:rPr>
          <w:rFonts w:ascii="Times New Roman" w:hAnsi="Times New Roman"/>
          <w:iCs/>
          <w:color w:val="000000"/>
          <w:sz w:val="28"/>
          <w:szCs w:val="28"/>
        </w:rPr>
        <w:t>Ley Orgánica 9/2011, de 27 de julio, de Derechos y Deberes de los miembros de las Fuerzas Armadas</w:t>
      </w:r>
      <w:r w:rsidRPr="00E673BF">
        <w:rPr>
          <w:rFonts w:ascii="Times New Roman" w:hAnsi="Times New Roman"/>
          <w:color w:val="000000"/>
          <w:sz w:val="28"/>
          <w:szCs w:val="28"/>
        </w:rPr>
        <w:t xml:space="preserve">, </w:t>
      </w:r>
      <w:r w:rsidRPr="00E673BF">
        <w:rPr>
          <w:rFonts w:ascii="Times New Roman" w:hAnsi="Times New Roman"/>
          <w:color w:val="000000"/>
          <w:sz w:val="28"/>
          <w:szCs w:val="28"/>
          <w:lang w:eastAsia="es-ES"/>
        </w:rPr>
        <w:t xml:space="preserve">uno de los elementos </w:t>
      </w:r>
      <w:r w:rsidR="00E673BF" w:rsidRPr="00E673BF">
        <w:rPr>
          <w:rFonts w:ascii="Times New Roman" w:hAnsi="Times New Roman"/>
          <w:color w:val="000000"/>
          <w:sz w:val="28"/>
          <w:szCs w:val="28"/>
          <w:lang w:eastAsia="es-ES"/>
        </w:rPr>
        <w:t>por</w:t>
      </w:r>
      <w:r w:rsidRPr="00E673BF">
        <w:rPr>
          <w:rFonts w:ascii="Times New Roman" w:hAnsi="Times New Roman"/>
          <w:color w:val="000000"/>
          <w:sz w:val="28"/>
          <w:szCs w:val="28"/>
          <w:lang w:eastAsia="es-ES"/>
        </w:rPr>
        <w:t xml:space="preserve"> analizar es todo aquello que afecta </w:t>
      </w:r>
      <w:r w:rsidRPr="00E673BF">
        <w:rPr>
          <w:rFonts w:ascii="Times New Roman" w:hAnsi="Times New Roman"/>
          <w:iCs/>
          <w:color w:val="000000"/>
          <w:sz w:val="28"/>
          <w:szCs w:val="28"/>
        </w:rPr>
        <w:t xml:space="preserve">al </w:t>
      </w:r>
      <w:r w:rsidRPr="00E673BF">
        <w:rPr>
          <w:rFonts w:ascii="Times New Roman" w:hAnsi="Times New Roman"/>
          <w:color w:val="000000"/>
          <w:sz w:val="28"/>
          <w:szCs w:val="28"/>
        </w:rPr>
        <w:t xml:space="preserve">retiro del personal </w:t>
      </w:r>
      <w:r w:rsidR="00E673BF" w:rsidRPr="00E673BF">
        <w:rPr>
          <w:rFonts w:ascii="Times New Roman" w:hAnsi="Times New Roman"/>
          <w:color w:val="000000"/>
          <w:sz w:val="28"/>
          <w:szCs w:val="28"/>
        </w:rPr>
        <w:t xml:space="preserve">con </w:t>
      </w:r>
      <w:r w:rsidRPr="00E673BF">
        <w:rPr>
          <w:rFonts w:ascii="Times New Roman" w:hAnsi="Times New Roman"/>
          <w:color w:val="000000"/>
          <w:sz w:val="28"/>
          <w:szCs w:val="28"/>
        </w:rPr>
        <w:t>discapacid</w:t>
      </w:r>
      <w:r w:rsidR="00E673BF" w:rsidRPr="00E673BF">
        <w:rPr>
          <w:rFonts w:ascii="Times New Roman" w:hAnsi="Times New Roman"/>
          <w:color w:val="000000"/>
          <w:sz w:val="28"/>
          <w:szCs w:val="28"/>
        </w:rPr>
        <w:t>ad</w:t>
      </w:r>
      <w:r w:rsidRPr="00E673BF">
        <w:rPr>
          <w:rFonts w:ascii="Times New Roman" w:hAnsi="Times New Roman"/>
          <w:color w:val="000000"/>
          <w:sz w:val="28"/>
          <w:szCs w:val="28"/>
          <w:lang w:eastAsia="es-ES"/>
        </w:rPr>
        <w:t xml:space="preserve">, hecho que justifica que la única asociación de militares y guardias civiles con discapacidad declarada de utilidad pública </w:t>
      </w:r>
      <w:r w:rsidR="00E673BF" w:rsidRPr="00E673BF">
        <w:rPr>
          <w:rFonts w:ascii="Times New Roman" w:hAnsi="Times New Roman"/>
          <w:color w:val="000000"/>
          <w:sz w:val="28"/>
          <w:szCs w:val="28"/>
          <w:lang w:eastAsia="es-ES"/>
        </w:rPr>
        <w:t xml:space="preserve">-ACIME- </w:t>
      </w:r>
      <w:r w:rsidRPr="00E673BF">
        <w:rPr>
          <w:rFonts w:ascii="Times New Roman" w:hAnsi="Times New Roman"/>
          <w:color w:val="000000"/>
          <w:sz w:val="28"/>
          <w:szCs w:val="28"/>
          <w:lang w:eastAsia="es-ES"/>
        </w:rPr>
        <w:t>pueda emanar una serie de propuestas de cara al Anteproyecto de Ley de reforma de la Carrera Militar que actualmente está elaborando el Ministerio de Defensa.</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lang w:eastAsia="es-ES"/>
        </w:rPr>
      </w:pPr>
      <w:r w:rsidRPr="00E673BF">
        <w:rPr>
          <w:rFonts w:ascii="Times New Roman" w:hAnsi="Times New Roman"/>
          <w:color w:val="000000"/>
          <w:sz w:val="28"/>
          <w:szCs w:val="28"/>
        </w:rPr>
        <w:t xml:space="preserve">Otro hecho que justifica nuestra intervención radica en el </w:t>
      </w:r>
      <w:r w:rsidRPr="00E673BF">
        <w:rPr>
          <w:rFonts w:ascii="Times New Roman" w:hAnsi="Times New Roman"/>
          <w:iCs/>
          <w:color w:val="000000"/>
          <w:sz w:val="28"/>
          <w:szCs w:val="28"/>
        </w:rPr>
        <w:t>Real Decreto 910/2012, sobre el Reglamento del Consejo de Personal de las Fuerzas Armadas, el cual contempla que l</w:t>
      </w:r>
      <w:r w:rsidRPr="00E673BF">
        <w:rPr>
          <w:rFonts w:ascii="Times New Roman" w:hAnsi="Times New Roman"/>
          <w:color w:val="000000"/>
          <w:sz w:val="28"/>
          <w:szCs w:val="28"/>
        </w:rPr>
        <w:t xml:space="preserve">as asociaciones de militares retirados y </w:t>
      </w:r>
      <w:r w:rsidR="00E673BF" w:rsidRPr="00E673BF">
        <w:rPr>
          <w:rFonts w:ascii="Times New Roman" w:hAnsi="Times New Roman"/>
          <w:color w:val="000000"/>
          <w:sz w:val="28"/>
          <w:szCs w:val="28"/>
        </w:rPr>
        <w:t xml:space="preserve">con </w:t>
      </w:r>
      <w:r w:rsidRPr="00E673BF">
        <w:rPr>
          <w:rFonts w:ascii="Times New Roman" w:hAnsi="Times New Roman"/>
          <w:color w:val="000000"/>
          <w:sz w:val="28"/>
          <w:szCs w:val="28"/>
        </w:rPr>
        <w:t>discapacid</w:t>
      </w:r>
      <w:r w:rsidR="00E673BF" w:rsidRPr="00E673BF">
        <w:rPr>
          <w:rFonts w:ascii="Times New Roman" w:hAnsi="Times New Roman"/>
          <w:color w:val="000000"/>
          <w:sz w:val="28"/>
          <w:szCs w:val="28"/>
        </w:rPr>
        <w:t>ad</w:t>
      </w:r>
      <w:r w:rsidRPr="00E673BF">
        <w:rPr>
          <w:rFonts w:ascii="Times New Roman" w:hAnsi="Times New Roman"/>
          <w:color w:val="000000"/>
          <w:sz w:val="28"/>
          <w:szCs w:val="28"/>
        </w:rPr>
        <w:t xml:space="preserve"> más representativas serán también convocadas, al menos, una vez al año, a las reuniones del pleno del Consejo de Personal al igual que las asociaciones profesionales que ya han comparecido</w:t>
      </w:r>
      <w:r w:rsidRPr="00E673BF">
        <w:rPr>
          <w:rFonts w:ascii="Times New Roman" w:hAnsi="Times New Roman"/>
          <w:color w:val="000000"/>
          <w:sz w:val="28"/>
          <w:szCs w:val="28"/>
          <w:lang w:eastAsia="es-ES"/>
        </w:rPr>
        <w:t>, hecho que todavía está por producirse.</w:t>
      </w:r>
    </w:p>
    <w:p w:rsidR="001F2ECF" w:rsidRPr="00E673BF" w:rsidRDefault="001F2ECF" w:rsidP="001F2ECF">
      <w:pPr>
        <w:autoSpaceDE w:val="0"/>
        <w:autoSpaceDN w:val="0"/>
        <w:adjustRightInd w:val="0"/>
        <w:spacing w:after="0"/>
        <w:jc w:val="both"/>
        <w:rPr>
          <w:rFonts w:ascii="Times New Roman" w:hAnsi="Times New Roman"/>
          <w:color w:val="000000"/>
          <w:sz w:val="28"/>
          <w:szCs w:val="28"/>
          <w:lang w:eastAsia="es-ES"/>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lang w:eastAsia="es-ES"/>
        </w:rPr>
      </w:pPr>
      <w:r w:rsidRPr="00E673BF">
        <w:rPr>
          <w:rFonts w:ascii="Times New Roman" w:hAnsi="Times New Roman"/>
          <w:color w:val="000000"/>
          <w:sz w:val="28"/>
          <w:szCs w:val="28"/>
          <w:lang w:eastAsia="es-ES"/>
        </w:rPr>
        <w:t>Por último, el artículo 4 de la Convención Internacional sobre Derechos de las Personas con Discapacidad establece la obligación del Estado de colaborar activamente con las personas con discapacidad a través de las organizaciones que las representan para la elaboración de la legislación, incluidas las medidas legislativas para modificar o derogar leyes y hacer efectivos los derechos recogidos en la citada Convención.</w:t>
      </w:r>
    </w:p>
    <w:p w:rsidR="001F2ECF" w:rsidRPr="00E673BF" w:rsidRDefault="001F2ECF" w:rsidP="001F2ECF">
      <w:pPr>
        <w:autoSpaceDE w:val="0"/>
        <w:autoSpaceDN w:val="0"/>
        <w:adjustRightInd w:val="0"/>
        <w:spacing w:after="0"/>
        <w:jc w:val="both"/>
        <w:rPr>
          <w:rFonts w:ascii="Times New Roman" w:eastAsia="Times New Roman" w:hAnsi="Times New Roman"/>
          <w:color w:val="000000"/>
          <w:sz w:val="28"/>
          <w:szCs w:val="28"/>
          <w:lang w:eastAsia="es-ES"/>
        </w:rPr>
      </w:pPr>
    </w:p>
    <w:p w:rsidR="001F2ECF" w:rsidRPr="00E673BF" w:rsidRDefault="001F2ECF" w:rsidP="001F2ECF">
      <w:pPr>
        <w:autoSpaceDE w:val="0"/>
        <w:autoSpaceDN w:val="0"/>
        <w:adjustRightInd w:val="0"/>
        <w:spacing w:after="0"/>
        <w:jc w:val="both"/>
        <w:rPr>
          <w:rFonts w:ascii="Times New Roman" w:hAnsi="Times New Roman"/>
          <w:b/>
          <w:color w:val="000000"/>
          <w:sz w:val="28"/>
          <w:szCs w:val="28"/>
        </w:rPr>
      </w:pPr>
      <w:r w:rsidRPr="00E673BF">
        <w:rPr>
          <w:rFonts w:ascii="Times New Roman" w:eastAsia="Times New Roman" w:hAnsi="Times New Roman"/>
          <w:b/>
          <w:color w:val="000000"/>
          <w:sz w:val="28"/>
          <w:szCs w:val="28"/>
          <w:lang w:eastAsia="es-ES"/>
        </w:rPr>
        <w:t>Ascensos de los militares retirados por discapacidad</w:t>
      </w:r>
    </w:p>
    <w:p w:rsidR="000F6B5E" w:rsidRPr="00E673BF" w:rsidRDefault="000F6B5E"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 xml:space="preserve">Mediante la Disposición Adicional 10ª de la Ley 39/2007, de 19 de noviembre, de la Carrera Militar, el Parlamento reconocía las injusticias y </w:t>
      </w:r>
      <w:r w:rsidRPr="00E673BF">
        <w:rPr>
          <w:rFonts w:ascii="Times New Roman" w:hAnsi="Times New Roman"/>
          <w:color w:val="000000"/>
          <w:sz w:val="28"/>
          <w:szCs w:val="28"/>
        </w:rPr>
        <w:lastRenderedPageBreak/>
        <w:t>agravios cometidos durante tantos años con el personal del Cuerpo de Suboficiales, EAUX y CAE, y se daba una solución, reconociéndoles el derecho a ascender a los empleos que legalmente les correspondían con las nuevas antigüedades. En esta medida reparadora se incluían a los Oficiales en retiro y a suboficiales en situación de reserva, incluidos los de reserva transitoria.</w:t>
      </w:r>
      <w:r w:rsidR="00E673BF">
        <w:rPr>
          <w:rFonts w:ascii="Times New Roman" w:hAnsi="Times New Roman"/>
          <w:color w:val="000000"/>
          <w:sz w:val="28"/>
          <w:szCs w:val="28"/>
        </w:rPr>
        <w:t xml:space="preserve"> </w:t>
      </w:r>
      <w:r w:rsidRPr="00E673BF">
        <w:rPr>
          <w:rFonts w:ascii="Times New Roman" w:hAnsi="Times New Roman"/>
          <w:color w:val="000000"/>
          <w:sz w:val="28"/>
          <w:szCs w:val="28"/>
        </w:rPr>
        <w:t>No obstante, por la redacción dada a la citada Disposición y sus interpretaciones restrictivas y anómalas, se ha materializado una disfunción de la misma creando una inequívoca discriminación directa y negativa, contraria a toda la legislación referente a las personas co</w:t>
      </w:r>
      <w:r w:rsidR="000F6B5E" w:rsidRPr="00E673BF">
        <w:rPr>
          <w:rFonts w:ascii="Times New Roman" w:hAnsi="Times New Roman"/>
          <w:color w:val="000000"/>
          <w:sz w:val="28"/>
          <w:szCs w:val="28"/>
        </w:rPr>
        <w:t>n discapacidad, hacia aquellos S</w:t>
      </w:r>
      <w:r w:rsidRPr="00E673BF">
        <w:rPr>
          <w:rFonts w:ascii="Times New Roman" w:hAnsi="Times New Roman"/>
          <w:color w:val="000000"/>
          <w:sz w:val="28"/>
          <w:szCs w:val="28"/>
        </w:rPr>
        <w:t xml:space="preserve">uboficiales que no pudieron ascender a Oficial por tener congelados irregularmente los ascensos y pasaron a retiro por una discapacidad sobrevenida. Es decir pasaron a retiro, la mayor parte de ellos por heridas y lesiones en acto de servicio, sin haber ascendido a los empleos que ahora se está reconociendo y que deberían haber alcanzado antes de su retiro. </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0F6B5E"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Es lamentable que en la citada Disposición no se contemplase a los S</w:t>
      </w:r>
      <w:r w:rsidR="001F2ECF" w:rsidRPr="00E673BF">
        <w:rPr>
          <w:rFonts w:ascii="Times New Roman" w:hAnsi="Times New Roman"/>
          <w:color w:val="000000"/>
          <w:sz w:val="28"/>
          <w:szCs w:val="28"/>
        </w:rPr>
        <w:t xml:space="preserve">uboficiales que pasaron a retiro por heridas en acto </w:t>
      </w:r>
      <w:r w:rsidRPr="00E673BF">
        <w:rPr>
          <w:rFonts w:ascii="Times New Roman" w:hAnsi="Times New Roman"/>
          <w:color w:val="000000"/>
          <w:sz w:val="28"/>
          <w:szCs w:val="28"/>
        </w:rPr>
        <w:t>de servicio y no se les concedieran</w:t>
      </w:r>
      <w:r w:rsidR="001F2ECF" w:rsidRPr="00E673BF">
        <w:rPr>
          <w:rFonts w:ascii="Times New Roman" w:hAnsi="Times New Roman"/>
          <w:color w:val="000000"/>
          <w:sz w:val="28"/>
          <w:szCs w:val="28"/>
        </w:rPr>
        <w:t xml:space="preserve"> los empleos que les correspondieran hasta la fecha de retiro en las mismas condiciones de las aplicadas al personal procedente de reserva transitoria hasta la fecha en que cada uno se integró en la citada reserva.</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Esta situación discriminatoria fue recogida en el documento “Derechos Humanos y Discapacidad. Informe España 2009” elaborado por el CERMI, organismo independiente para el seguimiento de la aplicación de la Convención de la ONU en nuestro país.</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 xml:space="preserve">En definitiva, estas medidas favorables aplicadas a miles de personas, no se han tenido en cuenta ni aplicado a militares que han caído en acto de servicio con el agravante que la aplicación de tal medida no conlleva ningún perjuicio para terceros ni supone ningún coste económico para el Estado. </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0F6B5E"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lastRenderedPageBreak/>
        <w:t>Otras disposiciones de la Ley de Carrera Militar</w:t>
      </w:r>
      <w:r w:rsidR="001F2ECF" w:rsidRPr="00E673BF">
        <w:rPr>
          <w:rFonts w:ascii="Times New Roman" w:hAnsi="Times New Roman"/>
          <w:color w:val="000000"/>
          <w:sz w:val="28"/>
          <w:szCs w:val="28"/>
        </w:rPr>
        <w:t>, entre ellas las D</w:t>
      </w:r>
      <w:r w:rsidRPr="00E673BF">
        <w:rPr>
          <w:rFonts w:ascii="Times New Roman" w:hAnsi="Times New Roman"/>
          <w:color w:val="000000"/>
          <w:sz w:val="28"/>
          <w:szCs w:val="28"/>
        </w:rPr>
        <w:t xml:space="preserve">isposición </w:t>
      </w:r>
      <w:r w:rsidR="001F2ECF" w:rsidRPr="00E673BF">
        <w:rPr>
          <w:rFonts w:ascii="Times New Roman" w:hAnsi="Times New Roman"/>
          <w:color w:val="000000"/>
          <w:sz w:val="28"/>
          <w:szCs w:val="28"/>
        </w:rPr>
        <w:t>T</w:t>
      </w:r>
      <w:r w:rsidRPr="00E673BF">
        <w:rPr>
          <w:rFonts w:ascii="Times New Roman" w:hAnsi="Times New Roman"/>
          <w:color w:val="000000"/>
          <w:sz w:val="28"/>
          <w:szCs w:val="28"/>
        </w:rPr>
        <w:t>ransitoria 6ª</w:t>
      </w:r>
      <w:r w:rsidR="001F2ECF" w:rsidRPr="00E673BF">
        <w:rPr>
          <w:rFonts w:ascii="Times New Roman" w:hAnsi="Times New Roman"/>
          <w:color w:val="000000"/>
          <w:sz w:val="28"/>
          <w:szCs w:val="28"/>
        </w:rPr>
        <w:t xml:space="preserve"> y </w:t>
      </w:r>
      <w:r w:rsidRPr="00E673BF">
        <w:rPr>
          <w:rFonts w:ascii="Times New Roman" w:hAnsi="Times New Roman"/>
          <w:color w:val="000000"/>
          <w:sz w:val="28"/>
          <w:szCs w:val="28"/>
        </w:rPr>
        <w:t>7ª</w:t>
      </w:r>
      <w:r w:rsidR="001F2ECF" w:rsidRPr="00E673BF">
        <w:rPr>
          <w:rFonts w:ascii="Times New Roman" w:hAnsi="Times New Roman"/>
          <w:color w:val="000000"/>
          <w:sz w:val="28"/>
          <w:szCs w:val="28"/>
        </w:rPr>
        <w:t xml:space="preserve"> contemplan ascensos al pase a la situación de reserva si se tienen cumplidas las condiciones y si se solicitan previamente, pero se olvidan de aquellos que también las tienen cumplidas y que de manera súbita e inesperada adquieren una discapacidad y no pasan a la reserva sino directamente a retirados. Esto se debe corregir pues constituye otra clara discriminación.</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b/>
          <w:color w:val="000000"/>
          <w:sz w:val="28"/>
          <w:szCs w:val="28"/>
        </w:rPr>
      </w:pPr>
      <w:r w:rsidRPr="00E673BF">
        <w:rPr>
          <w:rFonts w:ascii="Times New Roman" w:hAnsi="Times New Roman"/>
          <w:b/>
          <w:color w:val="000000"/>
          <w:sz w:val="28"/>
          <w:szCs w:val="28"/>
        </w:rPr>
        <w:t>Ascensos honoríficos</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Los ascensos honoríficos, sin coste para el Estado, es otra de nuestras propuestas de modificación. A pesar del cambio de actitud y el tratamiento más flexible y con más sensibilidad que desde el Ministerio de Defensa se está tratando el asunto y que como consecuencia de ello s</w:t>
      </w:r>
      <w:r w:rsidR="000F6B5E" w:rsidRPr="00E673BF">
        <w:rPr>
          <w:rFonts w:ascii="Times New Roman" w:hAnsi="Times New Roman"/>
          <w:color w:val="000000"/>
          <w:sz w:val="28"/>
          <w:szCs w:val="28"/>
        </w:rPr>
        <w:t>e ha visto plasmado en algunos Reales D</w:t>
      </w:r>
      <w:r w:rsidRPr="00E673BF">
        <w:rPr>
          <w:rFonts w:ascii="Times New Roman" w:hAnsi="Times New Roman"/>
          <w:color w:val="000000"/>
          <w:sz w:val="28"/>
          <w:szCs w:val="28"/>
        </w:rPr>
        <w:t xml:space="preserve">ecretos en que se conceden este tipo de ascensos, pensamos que el artículo 24.2 debería ser modificado, </w:t>
      </w:r>
      <w:r w:rsidR="000F6B5E" w:rsidRPr="00E673BF">
        <w:rPr>
          <w:rFonts w:ascii="Times New Roman" w:hAnsi="Times New Roman"/>
          <w:color w:val="000000"/>
          <w:sz w:val="28"/>
          <w:szCs w:val="28"/>
        </w:rPr>
        <w:t>con una redacción más clara que no dé lugar</w:t>
      </w:r>
      <w:r w:rsidRPr="00E673BF">
        <w:rPr>
          <w:rFonts w:ascii="Times New Roman" w:hAnsi="Times New Roman"/>
          <w:color w:val="000000"/>
          <w:sz w:val="28"/>
          <w:szCs w:val="28"/>
        </w:rPr>
        <w:t xml:space="preserve"> a interpretaciones restrictivas</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b/>
          <w:color w:val="000000"/>
          <w:sz w:val="28"/>
          <w:szCs w:val="28"/>
        </w:rPr>
      </w:pPr>
      <w:r w:rsidRPr="00E673BF">
        <w:rPr>
          <w:rFonts w:ascii="Times New Roman" w:hAnsi="Times New Roman"/>
          <w:b/>
          <w:color w:val="000000"/>
          <w:sz w:val="28"/>
          <w:szCs w:val="28"/>
        </w:rPr>
        <w:t>Personal apto con limitaciones</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La falta de oportunidades para el personal con una discapacidad parcial, declarado útil con limitaciones es una constante. La normativa de evaluaciones para ascensos, destinos, formación, etc.</w:t>
      </w:r>
      <w:r w:rsidR="000F6B5E" w:rsidRPr="00E673BF">
        <w:rPr>
          <w:rFonts w:ascii="Times New Roman" w:hAnsi="Times New Roman"/>
          <w:color w:val="000000"/>
          <w:sz w:val="28"/>
          <w:szCs w:val="28"/>
        </w:rPr>
        <w:t>,</w:t>
      </w:r>
      <w:r w:rsidRPr="00E673BF">
        <w:rPr>
          <w:rFonts w:ascii="Times New Roman" w:hAnsi="Times New Roman"/>
          <w:color w:val="000000"/>
          <w:sz w:val="28"/>
          <w:szCs w:val="28"/>
        </w:rPr>
        <w:t xml:space="preserve"> debe unificarse para todos los ejércitos, cuerpos y escalas y debe contemplar un modelo que no penalice esa discapacidad. </w:t>
      </w: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p>
    <w:p w:rsidR="001F2ECF" w:rsidRPr="00E673BF" w:rsidRDefault="001F2ECF" w:rsidP="001F2ECF">
      <w:pPr>
        <w:autoSpaceDE w:val="0"/>
        <w:autoSpaceDN w:val="0"/>
        <w:adjustRightInd w:val="0"/>
        <w:spacing w:after="0"/>
        <w:jc w:val="both"/>
        <w:rPr>
          <w:rFonts w:ascii="Times New Roman" w:hAnsi="Times New Roman"/>
          <w:color w:val="000000"/>
          <w:sz w:val="28"/>
          <w:szCs w:val="28"/>
        </w:rPr>
      </w:pPr>
      <w:r w:rsidRPr="00E673BF">
        <w:rPr>
          <w:rFonts w:ascii="Times New Roman" w:hAnsi="Times New Roman"/>
          <w:color w:val="000000"/>
          <w:sz w:val="28"/>
          <w:szCs w:val="28"/>
        </w:rPr>
        <w:t>Se ha comenzado a estudiar la posibilidad de que el personal militar pueda acceder a plazas en la administración pública como forma de paliar la imposibilidad de muchos de proseguir normalizadamente su carrera militar.</w:t>
      </w:r>
      <w:r w:rsidR="000F6B5E" w:rsidRPr="00E673BF">
        <w:rPr>
          <w:rFonts w:ascii="Times New Roman" w:hAnsi="Times New Roman"/>
          <w:color w:val="000000"/>
          <w:sz w:val="28"/>
          <w:szCs w:val="28"/>
        </w:rPr>
        <w:t xml:space="preserve"> Esta materia debería quedar plasmada en el Anteproyecto de Ley que actualmente elabora el Ministerio de Defensa.</w:t>
      </w:r>
      <w:r w:rsidRPr="00E673BF">
        <w:rPr>
          <w:rFonts w:ascii="Times New Roman" w:hAnsi="Times New Roman"/>
          <w:color w:val="000000"/>
          <w:sz w:val="28"/>
          <w:szCs w:val="28"/>
        </w:rPr>
        <w:t xml:space="preserve"> </w:t>
      </w:r>
    </w:p>
    <w:p w:rsidR="001F2ECF" w:rsidRPr="00E673BF" w:rsidRDefault="00E673BF" w:rsidP="00E673BF">
      <w:pPr>
        <w:spacing w:after="0"/>
        <w:jc w:val="right"/>
        <w:outlineLvl w:val="1"/>
        <w:rPr>
          <w:rFonts w:ascii="Times New Roman" w:hAnsi="Times New Roman"/>
          <w:color w:val="000000"/>
          <w:sz w:val="28"/>
          <w:szCs w:val="28"/>
        </w:rPr>
      </w:pPr>
      <w:r w:rsidRPr="00E673BF">
        <w:rPr>
          <w:rFonts w:ascii="Times New Roman" w:hAnsi="Times New Roman"/>
          <w:color w:val="000000"/>
          <w:sz w:val="28"/>
          <w:szCs w:val="28"/>
        </w:rPr>
        <w:t>27 de octubre de 2014.</w:t>
      </w:r>
    </w:p>
    <w:p w:rsidR="00E673BF" w:rsidRDefault="00E673BF" w:rsidP="00E673BF">
      <w:pPr>
        <w:spacing w:after="0"/>
        <w:jc w:val="center"/>
        <w:outlineLvl w:val="1"/>
        <w:rPr>
          <w:rFonts w:ascii="Times New Roman" w:hAnsi="Times New Roman"/>
          <w:b/>
          <w:color w:val="000000"/>
          <w:sz w:val="28"/>
          <w:szCs w:val="28"/>
        </w:rPr>
      </w:pPr>
    </w:p>
    <w:p w:rsidR="00936466" w:rsidRPr="00E673BF" w:rsidRDefault="00E673BF" w:rsidP="00E673BF">
      <w:pPr>
        <w:spacing w:after="0"/>
        <w:jc w:val="center"/>
        <w:outlineLvl w:val="1"/>
        <w:rPr>
          <w:rFonts w:ascii="Times New Roman" w:hAnsi="Times New Roman"/>
          <w:sz w:val="28"/>
          <w:szCs w:val="28"/>
        </w:rPr>
      </w:pPr>
      <w:r w:rsidRPr="00E673BF">
        <w:rPr>
          <w:rFonts w:ascii="Times New Roman" w:hAnsi="Times New Roman"/>
          <w:b/>
          <w:color w:val="000000"/>
          <w:sz w:val="28"/>
          <w:szCs w:val="28"/>
        </w:rPr>
        <w:t>CERMI/ACIME</w:t>
      </w:r>
    </w:p>
    <w:sectPr w:rsidR="00936466" w:rsidRPr="00E673BF" w:rsidSect="00434A5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1FB" w:rsidRDefault="00BC71FB" w:rsidP="00133134">
      <w:pPr>
        <w:spacing w:after="0" w:line="240" w:lineRule="auto"/>
      </w:pPr>
      <w:r>
        <w:separator/>
      </w:r>
    </w:p>
  </w:endnote>
  <w:endnote w:type="continuationSeparator" w:id="1">
    <w:p w:rsidR="00BC71FB" w:rsidRDefault="00BC71FB" w:rsidP="0013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4" w:rsidRDefault="0034103A">
    <w:pPr>
      <w:pStyle w:val="Piedepgina"/>
      <w:jc w:val="right"/>
    </w:pPr>
    <w:r>
      <w:fldChar w:fldCharType="begin"/>
    </w:r>
    <w:r w:rsidR="00133134">
      <w:instrText>PAGE   \* MERGEFORMAT</w:instrText>
    </w:r>
    <w:r>
      <w:fldChar w:fldCharType="separate"/>
    </w:r>
    <w:r w:rsidR="00163EE8">
      <w:rPr>
        <w:noProof/>
      </w:rPr>
      <w:t>1</w:t>
    </w:r>
    <w:r>
      <w:fldChar w:fldCharType="end"/>
    </w:r>
  </w:p>
  <w:p w:rsidR="00133134" w:rsidRDefault="0013313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1FB" w:rsidRDefault="00BC71FB" w:rsidP="00133134">
      <w:pPr>
        <w:spacing w:after="0" w:line="240" w:lineRule="auto"/>
      </w:pPr>
      <w:r>
        <w:separator/>
      </w:r>
    </w:p>
  </w:footnote>
  <w:footnote w:type="continuationSeparator" w:id="1">
    <w:p w:rsidR="00BC71FB" w:rsidRDefault="00BC71FB" w:rsidP="0013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34" w:rsidRDefault="00163EE8" w:rsidP="00133134">
    <w:pPr>
      <w:pStyle w:val="Encabezado"/>
      <w:jc w:val="center"/>
    </w:pPr>
    <w:r>
      <w:rPr>
        <w:noProof/>
        <w:lang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1"/>
                  <a:srcRect/>
                  <a:stretch>
                    <a:fillRect/>
                  </a:stretch>
                </pic:blipFill>
                <pic:spPr bwMode="auto">
                  <a:xfrm>
                    <a:off x="0" y="0"/>
                    <a:ext cx="1476375" cy="1000125"/>
                  </a:xfrm>
                  <a:prstGeom prst="rect">
                    <a:avLst/>
                  </a:prstGeom>
                  <a:noFill/>
                  <a:ln w="9525">
                    <a:noFill/>
                    <a:miter lim="800000"/>
                    <a:headEnd/>
                    <a:tailEnd/>
                  </a:ln>
                </pic:spPr>
              </pic:pic>
            </a:graphicData>
          </a:graphic>
        </wp:inline>
      </w:drawing>
    </w:r>
    <w:r w:rsidR="00E673BF">
      <w:t xml:space="preserve">                                                                                    </w:t>
    </w:r>
    <w:r>
      <w:rPr>
        <w:b/>
        <w:noProof/>
        <w:lang w:eastAsia="es-ES"/>
      </w:rPr>
      <w:drawing>
        <wp:inline distT="0" distB="0" distL="0" distR="0">
          <wp:extent cx="1085850" cy="1152525"/>
          <wp:effectExtent l="19050" t="0" r="0" b="0"/>
          <wp:docPr id="2" name="Imagen 2" descr="C:\Users\Juan\Documents\ACIME\Publicidad\Logos\Logo-escudo AC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uan\Documents\ACIME\Publicidad\Logos\Logo-escudo ACIME.jpg"/>
                  <pic:cNvPicPr>
                    <a:picLocks noChangeAspect="1" noChangeArrowheads="1"/>
                  </pic:cNvPicPr>
                </pic:nvPicPr>
                <pic:blipFill>
                  <a:blip r:embed="rId2"/>
                  <a:srcRect/>
                  <a:stretch>
                    <a:fillRect/>
                  </a:stretch>
                </pic:blipFill>
                <pic:spPr bwMode="auto">
                  <a:xfrm>
                    <a:off x="0" y="0"/>
                    <a:ext cx="1085850" cy="1152525"/>
                  </a:xfrm>
                  <a:prstGeom prst="rect">
                    <a:avLst/>
                  </a:prstGeom>
                  <a:noFill/>
                  <a:ln w="9525">
                    <a:noFill/>
                    <a:miter lim="800000"/>
                    <a:headEnd/>
                    <a:tailEnd/>
                  </a:ln>
                </pic:spPr>
              </pic:pic>
            </a:graphicData>
          </a:graphic>
        </wp:inline>
      </w:drawing>
    </w:r>
  </w:p>
  <w:p w:rsidR="00133134" w:rsidRDefault="00133134" w:rsidP="00133134">
    <w:pPr>
      <w:pStyle w:val="Encabezad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F2ECF"/>
    <w:rsid w:val="000F6B5E"/>
    <w:rsid w:val="00112BE7"/>
    <w:rsid w:val="00133134"/>
    <w:rsid w:val="00163EE8"/>
    <w:rsid w:val="001F2ECF"/>
    <w:rsid w:val="0034103A"/>
    <w:rsid w:val="00434A55"/>
    <w:rsid w:val="00936466"/>
    <w:rsid w:val="009C0CD8"/>
    <w:rsid w:val="00A663C9"/>
    <w:rsid w:val="00BC71FB"/>
    <w:rsid w:val="00E673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EC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1F2ECF"/>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1331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134"/>
    <w:rPr>
      <w:rFonts w:ascii="Tahoma" w:eastAsia="Calibri" w:hAnsi="Tahoma" w:cs="Tahoma"/>
      <w:sz w:val="16"/>
      <w:szCs w:val="16"/>
    </w:rPr>
  </w:style>
  <w:style w:type="paragraph" w:styleId="Encabezado">
    <w:name w:val="header"/>
    <w:basedOn w:val="Normal"/>
    <w:link w:val="EncabezadoCar"/>
    <w:uiPriority w:val="99"/>
    <w:unhideWhenUsed/>
    <w:rsid w:val="001331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3134"/>
    <w:rPr>
      <w:rFonts w:ascii="Calibri" w:eastAsia="Calibri" w:hAnsi="Calibri" w:cs="Times New Roman"/>
    </w:rPr>
  </w:style>
  <w:style w:type="paragraph" w:styleId="Piedepgina">
    <w:name w:val="footer"/>
    <w:basedOn w:val="Normal"/>
    <w:link w:val="PiedepginaCar"/>
    <w:uiPriority w:val="99"/>
    <w:unhideWhenUsed/>
    <w:rsid w:val="001331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313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C56B68-DCDE-435C-B1DA-54036FA1B8A7}">
  <ds:schemaRefs>
    <ds:schemaRef ds:uri="http://schemas.microsoft.com/sharepoint/v3/contenttype/forms"/>
  </ds:schemaRefs>
</ds:datastoreItem>
</file>

<file path=customXml/itemProps2.xml><?xml version="1.0" encoding="utf-8"?>
<ds:datastoreItem xmlns:ds="http://schemas.openxmlformats.org/officeDocument/2006/customXml" ds:itemID="{E89BC88B-C79A-4D61-83B5-B56B67790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43FCB6-F388-404D-A35D-FA50CDCD3CA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4584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Badía</dc:creator>
  <cp:keywords/>
  <cp:lastModifiedBy>babella.svm</cp:lastModifiedBy>
  <cp:revision>2</cp:revision>
  <dcterms:created xsi:type="dcterms:W3CDTF">2014-10-28T09:08:00Z</dcterms:created>
  <dcterms:modified xsi:type="dcterms:W3CDTF">2014-10-28T09:08:00Z</dcterms:modified>
</cp:coreProperties>
</file>