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FF" w:rsidRDefault="007E7B83" w:rsidP="009B40FF">
      <w:pPr>
        <w:pBdr>
          <w:bottom w:val="single" w:sz="12" w:space="1" w:color="auto"/>
        </w:pBdr>
        <w:jc w:val="cente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AC7387" w:rsidRPr="00B80D56" w:rsidRDefault="00AC7387" w:rsidP="009B40FF">
      <w:pPr>
        <w:pBdr>
          <w:bottom w:val="single" w:sz="12" w:space="1" w:color="auto"/>
        </w:pBdr>
        <w:jc w:val="center"/>
      </w:pPr>
    </w:p>
    <w:p w:rsidR="00D45B38" w:rsidRPr="00B80D56" w:rsidRDefault="00E55D75" w:rsidP="00996744">
      <w:pPr>
        <w:pBdr>
          <w:bottom w:val="single" w:sz="12" w:space="1" w:color="auto"/>
        </w:pBdr>
        <w:jc w:val="both"/>
        <w:rPr>
          <w:rFonts w:ascii="Arial" w:hAnsi="Arial" w:cs="Arial"/>
          <w:b/>
        </w:rPr>
      </w:pPr>
      <w:r w:rsidRPr="00B80D56">
        <w:rPr>
          <w:rFonts w:ascii="Arial" w:hAnsi="Arial" w:cs="Arial"/>
          <w:b/>
        </w:rPr>
        <w:t>PROPUESTA DE MODIFICACIÓN</w:t>
      </w:r>
      <w:r w:rsidR="00996744" w:rsidRPr="00B80D56">
        <w:rPr>
          <w:rFonts w:ascii="Arial" w:hAnsi="Arial" w:cs="Arial"/>
          <w:b/>
        </w:rPr>
        <w:t xml:space="preserve"> DEL ARTÍCULO 268 DEL CÓDIGO PENAL: EXCUSA ABSOLUTORIA EN LOS DELITOS PATRIMONIALES ENTRE PARIENTES, CUANDO LA V</w:t>
      </w:r>
      <w:r w:rsidRPr="00B80D56">
        <w:rPr>
          <w:rFonts w:ascii="Arial" w:hAnsi="Arial" w:cs="Arial"/>
          <w:b/>
        </w:rPr>
        <w:t>Í</w:t>
      </w:r>
      <w:r w:rsidR="00996744" w:rsidRPr="00B80D56">
        <w:rPr>
          <w:rFonts w:ascii="Arial" w:hAnsi="Arial" w:cs="Arial"/>
          <w:b/>
        </w:rPr>
        <w:t xml:space="preserve">CTIMA ES UNA PERSONA CON DISCAPACIDAD </w:t>
      </w:r>
      <w:r w:rsidRPr="00B80D56">
        <w:rPr>
          <w:rFonts w:ascii="Arial" w:hAnsi="Arial" w:cs="Arial"/>
          <w:b/>
        </w:rPr>
        <w:t>DE ESPECIAL PROTECCIÓN</w:t>
      </w:r>
    </w:p>
    <w:p w:rsidR="00E55D75" w:rsidRPr="00B80D56" w:rsidRDefault="00E55D75" w:rsidP="00996744">
      <w:pPr>
        <w:jc w:val="both"/>
        <w:rPr>
          <w:rFonts w:ascii="Arial" w:hAnsi="Arial" w:cs="Arial"/>
        </w:rPr>
      </w:pPr>
    </w:p>
    <w:p w:rsidR="00D45B38" w:rsidRPr="00B80D56" w:rsidRDefault="00D45B38" w:rsidP="00996744">
      <w:pPr>
        <w:jc w:val="both"/>
        <w:rPr>
          <w:rFonts w:ascii="Arial" w:hAnsi="Arial" w:cs="Arial"/>
          <w:b/>
          <w:u w:val="single"/>
        </w:rPr>
      </w:pPr>
      <w:r w:rsidRPr="00B80D56">
        <w:rPr>
          <w:rFonts w:ascii="Arial" w:hAnsi="Arial" w:cs="Arial"/>
          <w:b/>
          <w:u w:val="single"/>
        </w:rPr>
        <w:t>Justificación</w:t>
      </w:r>
    </w:p>
    <w:p w:rsidR="00D45B38" w:rsidRPr="00B80D56" w:rsidRDefault="00D45B38" w:rsidP="00996744">
      <w:pPr>
        <w:jc w:val="both"/>
        <w:rPr>
          <w:rFonts w:ascii="Arial" w:hAnsi="Arial" w:cs="Arial"/>
          <w:b/>
        </w:rPr>
      </w:pPr>
    </w:p>
    <w:p w:rsidR="00D45B38" w:rsidRPr="00B80D56" w:rsidRDefault="00D45B38" w:rsidP="00996744">
      <w:pPr>
        <w:jc w:val="both"/>
        <w:rPr>
          <w:rFonts w:ascii="Arial" w:hAnsi="Arial" w:cs="Arial"/>
        </w:rPr>
      </w:pPr>
      <w:r w:rsidRPr="00B80D56">
        <w:rPr>
          <w:rFonts w:ascii="Arial" w:hAnsi="Arial" w:cs="Arial"/>
        </w:rPr>
        <w:t>El artículo 268 del Código Penal establece lo siguiente:</w:t>
      </w:r>
    </w:p>
    <w:p w:rsidR="00D45B38" w:rsidRPr="00B80D56" w:rsidRDefault="00D45B38" w:rsidP="00996744">
      <w:pPr>
        <w:pStyle w:val="parrafo1"/>
        <w:ind w:left="284" w:right="284" w:firstLine="0"/>
        <w:rPr>
          <w:rFonts w:ascii="Arial" w:hAnsi="Arial" w:cs="Arial"/>
          <w:i/>
        </w:rPr>
      </w:pPr>
      <w:r w:rsidRPr="00B80D56">
        <w:rPr>
          <w:rFonts w:ascii="Arial" w:hAnsi="Arial" w:cs="Arial"/>
          <w:i/>
        </w:rPr>
        <w:t>"1. Están exentos de responsabilidad criminal y sujetos únicamente a la civil los cónyuges que no estuvieren separados legalmente o de hecho o en proceso judicial de separación, divorcio o nulidad de su matrimonio y los ascendientes, descendientes y hermanos por naturaleza o por adopción, así como los afines en primer grado si viviesen juntos, por los delitos patrimoniales que se causaren entre sí, siempre que no concurra violencia o intimidación.</w:t>
      </w:r>
    </w:p>
    <w:p w:rsidR="00D45B38" w:rsidRPr="00B80D56" w:rsidRDefault="00D45B38" w:rsidP="00996744">
      <w:pPr>
        <w:pStyle w:val="parrafo1"/>
        <w:ind w:left="284" w:right="284" w:firstLine="0"/>
        <w:rPr>
          <w:rFonts w:ascii="Arial" w:hAnsi="Arial" w:cs="Arial"/>
          <w:i/>
        </w:rPr>
      </w:pPr>
      <w:r w:rsidRPr="00B80D56">
        <w:rPr>
          <w:rFonts w:ascii="Arial" w:hAnsi="Arial" w:cs="Arial"/>
          <w:i/>
        </w:rPr>
        <w:t>2. Esta disposición no es aplicable a los extraños que participaren en el delito."</w:t>
      </w:r>
    </w:p>
    <w:p w:rsidR="00D45B38" w:rsidRPr="00B80D56" w:rsidRDefault="00D45B38" w:rsidP="00996744">
      <w:pPr>
        <w:jc w:val="both"/>
        <w:rPr>
          <w:rFonts w:ascii="Arial" w:hAnsi="Arial" w:cs="Arial"/>
          <w:i/>
          <w:lang w:eastAsia="es-ES_tradnl"/>
        </w:rPr>
      </w:pPr>
      <w:r w:rsidRPr="00B80D56">
        <w:rPr>
          <w:rFonts w:ascii="Arial" w:hAnsi="Arial" w:cs="Arial"/>
        </w:rPr>
        <w:t xml:space="preserve">Con esta norma se trata de excluir la responsabilidad criminal </w:t>
      </w:r>
      <w:r w:rsidR="00996744" w:rsidRPr="00B80D56">
        <w:rPr>
          <w:rFonts w:ascii="Arial" w:hAnsi="Arial" w:cs="Arial"/>
        </w:rPr>
        <w:t xml:space="preserve">en los delitos patrimoniales cometidos </w:t>
      </w:r>
      <w:r w:rsidRPr="00B80D56">
        <w:rPr>
          <w:rFonts w:ascii="Arial" w:hAnsi="Arial" w:cs="Arial"/>
        </w:rPr>
        <w:t xml:space="preserve">entre </w:t>
      </w:r>
      <w:r w:rsidR="00996744" w:rsidRPr="00B80D56">
        <w:rPr>
          <w:rFonts w:ascii="Arial" w:hAnsi="Arial" w:cs="Arial"/>
        </w:rPr>
        <w:t xml:space="preserve">personas con determinados </w:t>
      </w:r>
      <w:r w:rsidR="00E55D75" w:rsidRPr="00B80D56">
        <w:rPr>
          <w:rFonts w:ascii="Arial" w:hAnsi="Arial" w:cs="Arial"/>
        </w:rPr>
        <w:t>laz</w:t>
      </w:r>
      <w:r w:rsidR="00996744" w:rsidRPr="00B80D56">
        <w:rPr>
          <w:rFonts w:ascii="Arial" w:hAnsi="Arial" w:cs="Arial"/>
        </w:rPr>
        <w:t>os de parentesco</w:t>
      </w:r>
      <w:r w:rsidRPr="00B80D56">
        <w:rPr>
          <w:rFonts w:ascii="Arial" w:hAnsi="Arial" w:cs="Arial"/>
        </w:rPr>
        <w:t xml:space="preserve">. </w:t>
      </w:r>
      <w:r w:rsidRPr="00B80D56">
        <w:rPr>
          <w:rFonts w:ascii="Arial" w:hAnsi="Arial" w:cs="Arial"/>
          <w:lang w:eastAsia="es-ES_tradnl"/>
        </w:rPr>
        <w:t xml:space="preserve">La jurisprudencia, STS 91/2006, 30 de enero, con cita de la STS 334/2003, 5 de marzo, señaló que </w:t>
      </w:r>
      <w:r w:rsidRPr="00B80D56">
        <w:rPr>
          <w:rFonts w:ascii="Arial" w:hAnsi="Arial" w:cs="Arial"/>
          <w:i/>
          <w:lang w:eastAsia="es-ES_tradnl"/>
        </w:rPr>
        <w:t xml:space="preserve">«la razón de ser de la excusa absolutoria de los delitos contra la propiedad que no impliquen violencia ni intimidación entre los parientes incluidos en la excusa absolutoria del art. 268... se encuentra en una razón de política criminal que exige no criminalizar actos efectuados en el seno de grupos familiares unidos por fuertes lazos de sangre </w:t>
      </w:r>
      <w:r w:rsidR="000E312C" w:rsidRPr="00B80D56">
        <w:rPr>
          <w:rFonts w:ascii="Arial" w:hAnsi="Arial" w:cs="Arial"/>
          <w:i/>
          <w:lang w:eastAsia="es-ES_tradnl"/>
        </w:rPr>
        <w:t>...</w:t>
      </w:r>
      <w:r w:rsidR="00996744" w:rsidRPr="00B80D56">
        <w:rPr>
          <w:rFonts w:ascii="Arial" w:hAnsi="Arial" w:cs="Arial"/>
          <w:i/>
          <w:lang w:eastAsia="es-ES_tradnl"/>
        </w:rPr>
        <w:t xml:space="preserve"> porque ello, sobre </w:t>
      </w:r>
      <w:r w:rsidRPr="00B80D56">
        <w:rPr>
          <w:rFonts w:ascii="Arial" w:hAnsi="Arial" w:cs="Arial"/>
          <w:i/>
          <w:lang w:eastAsia="es-ES_tradnl"/>
        </w:rPr>
        <w:t>provocar una irrupción del sistema per se dentro del grupo familiar poco recomendable que perjudicaría la posible reconciliación familiar, estaría en contra de la filosofía que debe inspirar la actuación penal de mínima intervención y última ratio, siendo preferible desviar el tema a la jurisdicción civil que supone una intervención menos traumática y más proporcionada a la exclusiva afectación de intereses económicos como los únicos cuestionados, de ahí que se excluya los apoderamientos violentos o intimidatorios en los que quedan afectados valores superiores a los meramente económicos como son la vida, integridad física o psíquica, la libertad y seguridad»</w:t>
      </w:r>
      <w:r w:rsidR="00E55D75" w:rsidRPr="00B80D56">
        <w:rPr>
          <w:rFonts w:ascii="Arial" w:hAnsi="Arial" w:cs="Arial"/>
          <w:i/>
          <w:lang w:eastAsia="es-ES_tradnl"/>
        </w:rPr>
        <w:t>.</w:t>
      </w:r>
    </w:p>
    <w:p w:rsidR="000E312C" w:rsidRPr="00B80D56" w:rsidRDefault="000E312C" w:rsidP="00996744">
      <w:pPr>
        <w:jc w:val="both"/>
        <w:rPr>
          <w:rFonts w:ascii="Arial" w:hAnsi="Arial" w:cs="Arial"/>
          <w:i/>
          <w:lang w:eastAsia="es-ES_tradnl"/>
        </w:rPr>
      </w:pPr>
    </w:p>
    <w:p w:rsidR="000E312C" w:rsidRPr="00B80D56" w:rsidRDefault="000E312C" w:rsidP="00996744">
      <w:pPr>
        <w:jc w:val="both"/>
        <w:rPr>
          <w:rFonts w:ascii="Arial" w:hAnsi="Arial" w:cs="Arial"/>
        </w:rPr>
      </w:pPr>
      <w:r w:rsidRPr="00B80D56">
        <w:rPr>
          <w:rFonts w:ascii="Arial" w:hAnsi="Arial" w:cs="Arial"/>
          <w:lang w:eastAsia="es-ES_tradnl"/>
        </w:rPr>
        <w:t xml:space="preserve">Sin embargo, esta doctrina responde a una norma </w:t>
      </w:r>
      <w:r w:rsidR="00E55D75" w:rsidRPr="00B80D56">
        <w:rPr>
          <w:rFonts w:ascii="Arial" w:hAnsi="Arial" w:cs="Arial"/>
          <w:lang w:eastAsia="es-ES_tradnl"/>
        </w:rPr>
        <w:t xml:space="preserve">basada en una concepción </w:t>
      </w:r>
      <w:r w:rsidR="00996744" w:rsidRPr="00B80D56">
        <w:rPr>
          <w:rFonts w:ascii="Arial" w:hAnsi="Arial" w:cs="Arial"/>
          <w:lang w:eastAsia="es-ES_tradnl"/>
        </w:rPr>
        <w:t xml:space="preserve"> </w:t>
      </w:r>
      <w:r w:rsidR="00E55D75" w:rsidRPr="00B80D56">
        <w:rPr>
          <w:rFonts w:ascii="Arial" w:hAnsi="Arial" w:cs="Arial"/>
          <w:lang w:eastAsia="es-ES_tradnl"/>
        </w:rPr>
        <w:t xml:space="preserve">generalista </w:t>
      </w:r>
      <w:r w:rsidR="00996744" w:rsidRPr="00B80D56">
        <w:rPr>
          <w:rFonts w:ascii="Arial" w:hAnsi="Arial" w:cs="Arial"/>
          <w:lang w:eastAsia="es-ES_tradnl"/>
        </w:rPr>
        <w:t xml:space="preserve">que </w:t>
      </w:r>
      <w:r w:rsidR="00CF3C77" w:rsidRPr="00B80D56">
        <w:rPr>
          <w:rFonts w:ascii="Arial" w:hAnsi="Arial" w:cs="Arial"/>
          <w:lang w:eastAsia="es-ES_tradnl"/>
        </w:rPr>
        <w:t xml:space="preserve">no tiene en cuenta </w:t>
      </w:r>
      <w:r w:rsidR="00E55D75" w:rsidRPr="00B80D56">
        <w:rPr>
          <w:rFonts w:ascii="Arial" w:hAnsi="Arial" w:cs="Arial"/>
          <w:lang w:eastAsia="es-ES_tradnl"/>
        </w:rPr>
        <w:t>todos lo</w:t>
      </w:r>
      <w:r w:rsidR="00CF3C77" w:rsidRPr="00B80D56">
        <w:rPr>
          <w:rFonts w:ascii="Arial" w:hAnsi="Arial" w:cs="Arial"/>
          <w:lang w:eastAsia="es-ES_tradnl"/>
        </w:rPr>
        <w:t xml:space="preserve">s </w:t>
      </w:r>
      <w:r w:rsidR="00E55D75" w:rsidRPr="00B80D56">
        <w:rPr>
          <w:rFonts w:ascii="Arial" w:hAnsi="Arial" w:cs="Arial"/>
          <w:lang w:eastAsia="es-ES_tradnl"/>
        </w:rPr>
        <w:t>supuestos, como aquellos en los que</w:t>
      </w:r>
      <w:r w:rsidR="00996744" w:rsidRPr="00B80D56">
        <w:rPr>
          <w:rFonts w:ascii="Arial" w:hAnsi="Arial" w:cs="Arial"/>
          <w:lang w:eastAsia="es-ES_tradnl"/>
        </w:rPr>
        <w:t xml:space="preserve"> se abusa de una persona con discapacidad </w:t>
      </w:r>
      <w:r w:rsidR="00E55D75" w:rsidRPr="00B80D56">
        <w:rPr>
          <w:rFonts w:ascii="Arial" w:hAnsi="Arial" w:cs="Arial"/>
          <w:lang w:eastAsia="es-ES_tradnl"/>
        </w:rPr>
        <w:t xml:space="preserve">de </w:t>
      </w:r>
      <w:r w:rsidR="00996744" w:rsidRPr="00B80D56">
        <w:rPr>
          <w:rFonts w:ascii="Arial" w:hAnsi="Arial" w:cs="Arial"/>
          <w:lang w:eastAsia="es-ES_tradnl"/>
        </w:rPr>
        <w:t>especial</w:t>
      </w:r>
      <w:r w:rsidR="00E55D75" w:rsidRPr="00B80D56">
        <w:rPr>
          <w:rFonts w:ascii="Arial" w:hAnsi="Arial" w:cs="Arial"/>
          <w:lang w:eastAsia="es-ES_tradnl"/>
        </w:rPr>
        <w:t xml:space="preserve"> protección,</w:t>
      </w:r>
      <w:r w:rsidR="00996744" w:rsidRPr="00B80D56">
        <w:rPr>
          <w:rFonts w:ascii="Arial" w:hAnsi="Arial" w:cs="Arial"/>
          <w:lang w:eastAsia="es-ES_tradnl"/>
        </w:rPr>
        <w:t xml:space="preserve"> y </w:t>
      </w:r>
      <w:r w:rsidRPr="00B80D56">
        <w:rPr>
          <w:rFonts w:ascii="Arial" w:hAnsi="Arial" w:cs="Arial"/>
          <w:lang w:eastAsia="es-ES_tradnl"/>
        </w:rPr>
        <w:t>debe ser modificada para dar entrada a aquell</w:t>
      </w:r>
      <w:r w:rsidR="00E55D75" w:rsidRPr="00B80D56">
        <w:rPr>
          <w:rFonts w:ascii="Arial" w:hAnsi="Arial" w:cs="Arial"/>
          <w:lang w:eastAsia="es-ES_tradnl"/>
        </w:rPr>
        <w:t>a</w:t>
      </w:r>
      <w:r w:rsidRPr="00B80D56">
        <w:rPr>
          <w:rFonts w:ascii="Arial" w:hAnsi="Arial" w:cs="Arial"/>
          <w:lang w:eastAsia="es-ES_tradnl"/>
        </w:rPr>
        <w:t>s</w:t>
      </w:r>
      <w:r w:rsidR="00E55D75" w:rsidRPr="00B80D56">
        <w:rPr>
          <w:rFonts w:ascii="Arial" w:hAnsi="Arial" w:cs="Arial"/>
          <w:lang w:eastAsia="es-ES_tradnl"/>
        </w:rPr>
        <w:t xml:space="preserve"> situaciones de hecho </w:t>
      </w:r>
      <w:r w:rsidRPr="00B80D56">
        <w:rPr>
          <w:rFonts w:ascii="Arial" w:hAnsi="Arial" w:cs="Arial"/>
          <w:lang w:eastAsia="es-ES_tradnl"/>
        </w:rPr>
        <w:t xml:space="preserve">en </w:t>
      </w:r>
      <w:r w:rsidR="00E55D75" w:rsidRPr="00B80D56">
        <w:rPr>
          <w:rFonts w:ascii="Arial" w:hAnsi="Arial" w:cs="Arial"/>
          <w:lang w:eastAsia="es-ES_tradnl"/>
        </w:rPr>
        <w:t xml:space="preserve">las </w:t>
      </w:r>
      <w:r w:rsidRPr="00B80D56">
        <w:rPr>
          <w:rFonts w:ascii="Arial" w:hAnsi="Arial" w:cs="Arial"/>
          <w:lang w:eastAsia="es-ES_tradnl"/>
        </w:rPr>
        <w:t xml:space="preserve">que la actuación antijurídica y punible de un familiar, aun tan directo como los enumerados en el precepto, se efectúa aprovechándose de la situación en las </w:t>
      </w:r>
      <w:r w:rsidRPr="00B80D56">
        <w:rPr>
          <w:rFonts w:ascii="Arial" w:hAnsi="Arial" w:cs="Arial"/>
          <w:lang w:eastAsia="es-ES_tradnl"/>
        </w:rPr>
        <w:lastRenderedPageBreak/>
        <w:t xml:space="preserve">que se encuentran las personas con discapacidad especialmente vulnerables por el tipo o </w:t>
      </w:r>
      <w:r w:rsidR="00E55D75" w:rsidRPr="00B80D56">
        <w:rPr>
          <w:rFonts w:ascii="Arial" w:hAnsi="Arial" w:cs="Arial"/>
          <w:lang w:eastAsia="es-ES_tradnl"/>
        </w:rPr>
        <w:t>intensidad</w:t>
      </w:r>
      <w:r w:rsidRPr="00B80D56">
        <w:rPr>
          <w:rFonts w:ascii="Arial" w:hAnsi="Arial" w:cs="Arial"/>
          <w:lang w:eastAsia="es-ES_tradnl"/>
        </w:rPr>
        <w:t xml:space="preserve"> </w:t>
      </w:r>
      <w:r w:rsidR="00766311">
        <w:rPr>
          <w:rFonts w:ascii="Arial" w:hAnsi="Arial" w:cs="Arial"/>
          <w:lang w:eastAsia="es-ES_tradnl"/>
        </w:rPr>
        <w:t>de los apoyos que precisan</w:t>
      </w:r>
      <w:r w:rsidRPr="00B80D56">
        <w:rPr>
          <w:rFonts w:ascii="Arial" w:hAnsi="Arial" w:cs="Arial"/>
          <w:lang w:eastAsia="es-ES_tradnl"/>
        </w:rPr>
        <w:t>. El tratamiento penal de dichas conductas debe recogerse en aquellos casos, no tan infrecuentes, en que se produce un</w:t>
      </w:r>
      <w:r w:rsidRPr="00B80D56">
        <w:rPr>
          <w:rFonts w:ascii="Arial" w:hAnsi="Arial" w:cs="Arial"/>
        </w:rPr>
        <w:t xml:space="preserve"> expolio del patrimonio de la víctima por ilícitas y desaprensivas actuaciones de su entorno familiar. </w:t>
      </w:r>
    </w:p>
    <w:p w:rsidR="000E312C" w:rsidRPr="00B80D56" w:rsidRDefault="000E312C" w:rsidP="00996744">
      <w:pPr>
        <w:jc w:val="both"/>
        <w:rPr>
          <w:rFonts w:ascii="Arial" w:hAnsi="Arial" w:cs="Arial"/>
        </w:rPr>
      </w:pPr>
    </w:p>
    <w:p w:rsidR="000E312C" w:rsidRPr="00B80D56" w:rsidRDefault="000E312C" w:rsidP="00996744">
      <w:pPr>
        <w:jc w:val="both"/>
        <w:rPr>
          <w:rFonts w:ascii="Arial" w:hAnsi="Arial" w:cs="Arial"/>
        </w:rPr>
      </w:pPr>
      <w:r w:rsidRPr="00B80D56">
        <w:rPr>
          <w:rFonts w:ascii="Arial" w:hAnsi="Arial" w:cs="Arial"/>
        </w:rPr>
        <w:t xml:space="preserve">Es cierto que queda abierta la vía civil, pero </w:t>
      </w:r>
      <w:r w:rsidR="00E55D75" w:rsidRPr="00B80D56">
        <w:rPr>
          <w:rFonts w:ascii="Arial" w:hAnsi="Arial" w:cs="Arial"/>
        </w:rPr>
        <w:t>hemos</w:t>
      </w:r>
      <w:r w:rsidRPr="00B80D56">
        <w:rPr>
          <w:rFonts w:ascii="Arial" w:hAnsi="Arial" w:cs="Arial"/>
        </w:rPr>
        <w:t xml:space="preserve"> </w:t>
      </w:r>
      <w:r w:rsidR="00E55D75" w:rsidRPr="00B80D56">
        <w:rPr>
          <w:rFonts w:ascii="Arial" w:hAnsi="Arial" w:cs="Arial"/>
        </w:rPr>
        <w:t>de rec</w:t>
      </w:r>
      <w:r w:rsidRPr="00B80D56">
        <w:rPr>
          <w:rFonts w:ascii="Arial" w:hAnsi="Arial" w:cs="Arial"/>
        </w:rPr>
        <w:t xml:space="preserve">ordar que dicho procedimiento para satisfacer los intereses de las persona con discapacidad especialmente vulnerable es lento y genera incertidumbres a la hora de obtener un resultado, por lo que a veces se necesita una acción contundente sobre los que cometen estos actos en perjuicio de víctimas que no se pueden defender </w:t>
      </w:r>
      <w:r w:rsidR="00996744" w:rsidRPr="00B80D56">
        <w:rPr>
          <w:rFonts w:ascii="Arial" w:hAnsi="Arial" w:cs="Arial"/>
        </w:rPr>
        <w:t>fácilmente</w:t>
      </w:r>
      <w:r w:rsidR="00CF3C77" w:rsidRPr="00B80D56">
        <w:rPr>
          <w:rFonts w:ascii="Arial" w:hAnsi="Arial" w:cs="Arial"/>
        </w:rPr>
        <w:t xml:space="preserve">, por lo que deben </w:t>
      </w:r>
      <w:r w:rsidR="00E55D75" w:rsidRPr="00B80D56">
        <w:rPr>
          <w:rFonts w:ascii="Arial" w:hAnsi="Arial" w:cs="Arial"/>
        </w:rPr>
        <w:t xml:space="preserve">gozar </w:t>
      </w:r>
      <w:r w:rsidR="00CF3C77" w:rsidRPr="00B80D56">
        <w:rPr>
          <w:rFonts w:ascii="Arial" w:hAnsi="Arial" w:cs="Arial"/>
        </w:rPr>
        <w:t>de una protección reforzada mediante la amenaza de sanción penal</w:t>
      </w:r>
      <w:r w:rsidRPr="00B80D56">
        <w:rPr>
          <w:rFonts w:ascii="Arial" w:hAnsi="Arial" w:cs="Arial"/>
        </w:rPr>
        <w:t>.</w:t>
      </w:r>
    </w:p>
    <w:p w:rsidR="000E312C" w:rsidRPr="00B80D56" w:rsidRDefault="000E312C" w:rsidP="00996744">
      <w:pPr>
        <w:jc w:val="both"/>
        <w:rPr>
          <w:rFonts w:ascii="Arial" w:hAnsi="Arial" w:cs="Arial"/>
        </w:rPr>
      </w:pPr>
    </w:p>
    <w:p w:rsidR="00E3232C" w:rsidRPr="00B80D56" w:rsidRDefault="00E55D75" w:rsidP="00996744">
      <w:pPr>
        <w:jc w:val="both"/>
        <w:rPr>
          <w:rFonts w:ascii="Arial" w:hAnsi="Arial" w:cs="Arial"/>
        </w:rPr>
      </w:pPr>
      <w:r w:rsidRPr="00B80D56">
        <w:rPr>
          <w:rFonts w:ascii="Arial" w:hAnsi="Arial" w:cs="Arial"/>
          <w:lang w:eastAsia="es-ES_tradnl"/>
        </w:rPr>
        <w:t>A</w:t>
      </w:r>
      <w:r w:rsidR="00CF3C77" w:rsidRPr="00B80D56">
        <w:rPr>
          <w:rFonts w:ascii="Arial" w:hAnsi="Arial" w:cs="Arial"/>
          <w:lang w:eastAsia="es-ES_tradnl"/>
        </w:rPr>
        <w:t>demás,</w:t>
      </w:r>
      <w:r w:rsidR="00E3232C" w:rsidRPr="00B80D56">
        <w:rPr>
          <w:rFonts w:ascii="Arial" w:hAnsi="Arial" w:cs="Arial"/>
          <w:lang w:eastAsia="es-ES_tradnl"/>
        </w:rPr>
        <w:t xml:space="preserve"> este artículo </w:t>
      </w:r>
      <w:r w:rsidRPr="00B80D56">
        <w:rPr>
          <w:rFonts w:ascii="Arial" w:hAnsi="Arial" w:cs="Arial"/>
          <w:lang w:eastAsia="es-ES_tradnl"/>
        </w:rPr>
        <w:t xml:space="preserve">del Código Penal, en su actual redacción, </w:t>
      </w:r>
      <w:r w:rsidR="00E3232C" w:rsidRPr="00B80D56">
        <w:rPr>
          <w:rFonts w:ascii="Arial" w:hAnsi="Arial" w:cs="Arial"/>
          <w:lang w:eastAsia="es-ES_tradnl"/>
        </w:rPr>
        <w:t xml:space="preserve">puede vulnerar el </w:t>
      </w:r>
      <w:r w:rsidR="00CF3C77" w:rsidRPr="00B80D56">
        <w:rPr>
          <w:rFonts w:ascii="Arial" w:hAnsi="Arial" w:cs="Arial"/>
        </w:rPr>
        <w:t>art</w:t>
      </w:r>
      <w:r w:rsidRPr="00B80D56">
        <w:rPr>
          <w:rFonts w:ascii="Arial" w:hAnsi="Arial" w:cs="Arial"/>
        </w:rPr>
        <w:t xml:space="preserve">ículo </w:t>
      </w:r>
      <w:r w:rsidR="00E3232C" w:rsidRPr="00B80D56">
        <w:rPr>
          <w:rFonts w:ascii="Arial" w:hAnsi="Arial" w:cs="Arial"/>
        </w:rPr>
        <w:t xml:space="preserve">12.5 de la Convención </w:t>
      </w:r>
      <w:r w:rsidRPr="00B80D56">
        <w:rPr>
          <w:rFonts w:ascii="Arial" w:hAnsi="Arial" w:cs="Arial"/>
        </w:rPr>
        <w:t xml:space="preserve">Internacional </w:t>
      </w:r>
      <w:r w:rsidR="00E3232C" w:rsidRPr="00B80D56">
        <w:rPr>
          <w:rFonts w:ascii="Arial" w:hAnsi="Arial" w:cs="Arial"/>
        </w:rPr>
        <w:t xml:space="preserve">sobre los </w:t>
      </w:r>
      <w:r w:rsidRPr="00B80D56">
        <w:rPr>
          <w:rFonts w:ascii="Arial" w:hAnsi="Arial" w:cs="Arial"/>
        </w:rPr>
        <w:t>D</w:t>
      </w:r>
      <w:r w:rsidR="00E3232C" w:rsidRPr="00B80D56">
        <w:rPr>
          <w:rFonts w:ascii="Arial" w:hAnsi="Arial" w:cs="Arial"/>
        </w:rPr>
        <w:t xml:space="preserve">erechos de las </w:t>
      </w:r>
      <w:r w:rsidRPr="00B80D56">
        <w:rPr>
          <w:rFonts w:ascii="Arial" w:hAnsi="Arial" w:cs="Arial"/>
        </w:rPr>
        <w:t>P</w:t>
      </w:r>
      <w:r w:rsidR="00E3232C" w:rsidRPr="00B80D56">
        <w:rPr>
          <w:rFonts w:ascii="Arial" w:hAnsi="Arial" w:cs="Arial"/>
        </w:rPr>
        <w:t xml:space="preserve">ersonas con </w:t>
      </w:r>
      <w:r w:rsidRPr="00B80D56">
        <w:rPr>
          <w:rFonts w:ascii="Arial" w:hAnsi="Arial" w:cs="Arial"/>
        </w:rPr>
        <w:t>D</w:t>
      </w:r>
      <w:r w:rsidR="00E3232C" w:rsidRPr="00B80D56">
        <w:rPr>
          <w:rFonts w:ascii="Arial" w:hAnsi="Arial" w:cs="Arial"/>
        </w:rPr>
        <w:t>iscapacidad, cuando impone a los Estados que la ratificaron, España entre ellos, que:</w:t>
      </w:r>
    </w:p>
    <w:p w:rsidR="00E3232C" w:rsidRPr="00B80D56" w:rsidRDefault="00E3232C" w:rsidP="00996744">
      <w:pPr>
        <w:jc w:val="both"/>
        <w:rPr>
          <w:rFonts w:ascii="Arial" w:hAnsi="Arial" w:cs="Arial"/>
        </w:rPr>
      </w:pPr>
    </w:p>
    <w:p w:rsidR="00E3232C" w:rsidRPr="00B80D56" w:rsidRDefault="00E3232C" w:rsidP="00CF3C77">
      <w:pPr>
        <w:ind w:left="284" w:right="284"/>
        <w:jc w:val="both"/>
        <w:rPr>
          <w:rFonts w:ascii="Arial" w:hAnsi="Arial" w:cs="Arial"/>
          <w:b/>
          <w:i/>
          <w:iCs/>
          <w:u w:val="single"/>
        </w:rPr>
      </w:pPr>
      <w:r w:rsidRPr="00B80D56">
        <w:rPr>
          <w:rFonts w:ascii="Arial" w:hAnsi="Arial" w:cs="Arial"/>
          <w:b/>
          <w:i/>
        </w:rPr>
        <w:t xml:space="preserve">“Tomen </w:t>
      </w:r>
      <w:r w:rsidRPr="00B80D56">
        <w:rPr>
          <w:rFonts w:ascii="Arial" w:hAnsi="Arial" w:cs="Arial"/>
          <w:b/>
          <w:i/>
          <w:iCs/>
        </w:rPr>
        <w:t xml:space="preserve">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w:t>
      </w:r>
      <w:r w:rsidRPr="00B80D56">
        <w:rPr>
          <w:rFonts w:ascii="Arial" w:hAnsi="Arial" w:cs="Arial"/>
          <w:b/>
          <w:i/>
          <w:iCs/>
          <w:u w:val="single"/>
        </w:rPr>
        <w:t>y   velarán  por  que  las personas   con   discapacidad   no   sean   privadas   de   sus  bienes  de  manera arbitraria”.</w:t>
      </w:r>
    </w:p>
    <w:p w:rsidR="00E3232C" w:rsidRPr="00B80D56" w:rsidRDefault="00E3232C" w:rsidP="00CF3C77">
      <w:pPr>
        <w:ind w:left="284" w:right="284"/>
        <w:jc w:val="both"/>
        <w:rPr>
          <w:rFonts w:ascii="Arial" w:hAnsi="Arial" w:cs="Arial"/>
          <w:b/>
          <w:i/>
          <w:iCs/>
        </w:rPr>
      </w:pPr>
    </w:p>
    <w:p w:rsidR="00CF3C77" w:rsidRPr="00B80D56" w:rsidRDefault="00CF3C77" w:rsidP="00996744">
      <w:pPr>
        <w:jc w:val="both"/>
        <w:rPr>
          <w:rFonts w:ascii="Arial" w:hAnsi="Arial" w:cs="Arial"/>
          <w:lang w:eastAsia="es-ES_tradnl"/>
        </w:rPr>
      </w:pPr>
      <w:r w:rsidRPr="00B80D56">
        <w:rPr>
          <w:rFonts w:ascii="Arial" w:hAnsi="Arial" w:cs="Arial"/>
          <w:lang w:eastAsia="es-ES_tradnl"/>
        </w:rPr>
        <w:t xml:space="preserve">Dicho precepto justifica que reciban una protección reforzada, lo que </w:t>
      </w:r>
      <w:r w:rsidR="0070497E" w:rsidRPr="00B80D56">
        <w:rPr>
          <w:rFonts w:ascii="Arial" w:hAnsi="Arial" w:cs="Arial"/>
          <w:lang w:eastAsia="es-ES_tradnl"/>
        </w:rPr>
        <w:t>aconseja</w:t>
      </w:r>
      <w:r w:rsidRPr="00B80D56">
        <w:rPr>
          <w:rFonts w:ascii="Arial" w:hAnsi="Arial" w:cs="Arial"/>
          <w:lang w:eastAsia="es-ES_tradnl"/>
        </w:rPr>
        <w:t xml:space="preserve"> la represión penal de las conductas de familiares que, siendo los principales obligados a proteger los intereses económicos de dichas personas, abusan de su posición para expoliar su patrimonio.</w:t>
      </w:r>
    </w:p>
    <w:p w:rsidR="00E55D75" w:rsidRPr="00B80D56" w:rsidRDefault="00E55D75" w:rsidP="00996744">
      <w:pPr>
        <w:jc w:val="both"/>
        <w:rPr>
          <w:rFonts w:ascii="Arial" w:hAnsi="Arial" w:cs="Arial"/>
          <w:lang w:eastAsia="es-ES_tradnl"/>
        </w:rPr>
      </w:pPr>
    </w:p>
    <w:p w:rsidR="000E312C" w:rsidRPr="00B80D56" w:rsidRDefault="00E55D75" w:rsidP="00996744">
      <w:pPr>
        <w:jc w:val="both"/>
        <w:rPr>
          <w:rFonts w:ascii="Arial" w:hAnsi="Arial" w:cs="Arial"/>
          <w:color w:val="FF0000"/>
          <w:lang w:eastAsia="es-ES_tradnl"/>
        </w:rPr>
      </w:pPr>
      <w:r w:rsidRPr="00B80D56">
        <w:rPr>
          <w:rFonts w:ascii="Arial" w:hAnsi="Arial" w:cs="Arial"/>
          <w:lang w:eastAsia="es-ES_tradnl"/>
        </w:rPr>
        <w:t xml:space="preserve">En los últimos tiempos, han aumentado las </w:t>
      </w:r>
      <w:r w:rsidR="00E3232C" w:rsidRPr="00B80D56">
        <w:rPr>
          <w:rFonts w:ascii="Arial" w:hAnsi="Arial" w:cs="Arial"/>
          <w:lang w:eastAsia="es-ES_tradnl"/>
        </w:rPr>
        <w:t xml:space="preserve">opiniones </w:t>
      </w:r>
      <w:r w:rsidRPr="00B80D56">
        <w:rPr>
          <w:rFonts w:ascii="Arial" w:hAnsi="Arial" w:cs="Arial"/>
          <w:lang w:eastAsia="es-ES_tradnl"/>
        </w:rPr>
        <w:t xml:space="preserve">fundadas de operadores jurídicos cualificados y sectores sociales </w:t>
      </w:r>
      <w:r w:rsidR="00E3232C" w:rsidRPr="00B80D56">
        <w:rPr>
          <w:rFonts w:ascii="Arial" w:hAnsi="Arial" w:cs="Arial"/>
          <w:lang w:eastAsia="es-ES_tradnl"/>
        </w:rPr>
        <w:t xml:space="preserve">que sostienen que el </w:t>
      </w:r>
      <w:r w:rsidRPr="00B80D56">
        <w:rPr>
          <w:rFonts w:ascii="Arial" w:hAnsi="Arial" w:cs="Arial"/>
          <w:lang w:eastAsia="es-ES_tradnl"/>
        </w:rPr>
        <w:t xml:space="preserve">artículo </w:t>
      </w:r>
      <w:r w:rsidR="00E3232C" w:rsidRPr="00B80D56">
        <w:rPr>
          <w:rFonts w:ascii="Arial" w:hAnsi="Arial" w:cs="Arial"/>
          <w:lang w:eastAsia="es-ES_tradnl"/>
        </w:rPr>
        <w:t xml:space="preserve">268 </w:t>
      </w:r>
      <w:r w:rsidRPr="00B80D56">
        <w:rPr>
          <w:rFonts w:ascii="Arial" w:hAnsi="Arial" w:cs="Arial"/>
          <w:lang w:eastAsia="es-ES_tradnl"/>
        </w:rPr>
        <w:t xml:space="preserve">del Código Penal </w:t>
      </w:r>
      <w:r w:rsidR="00E3232C" w:rsidRPr="00B80D56">
        <w:rPr>
          <w:rFonts w:ascii="Arial" w:hAnsi="Arial" w:cs="Arial"/>
          <w:lang w:eastAsia="es-ES_tradnl"/>
        </w:rPr>
        <w:t xml:space="preserve">es un </w:t>
      </w:r>
      <w:r w:rsidRPr="00B80D56">
        <w:rPr>
          <w:rFonts w:ascii="Arial" w:hAnsi="Arial" w:cs="Arial"/>
          <w:lang w:eastAsia="es-ES_tradnl"/>
        </w:rPr>
        <w:t xml:space="preserve">precepto </w:t>
      </w:r>
      <w:r w:rsidR="00E3232C" w:rsidRPr="00B80D56">
        <w:rPr>
          <w:rFonts w:ascii="Arial" w:hAnsi="Arial" w:cs="Arial"/>
          <w:lang w:eastAsia="es-ES_tradnl"/>
        </w:rPr>
        <w:t>que debe revisarse</w:t>
      </w:r>
      <w:r w:rsidR="00CF3C77" w:rsidRPr="00B80D56">
        <w:rPr>
          <w:rFonts w:ascii="Arial" w:hAnsi="Arial" w:cs="Arial"/>
          <w:lang w:eastAsia="es-ES_tradnl"/>
        </w:rPr>
        <w:t>,</w:t>
      </w:r>
      <w:r w:rsidR="00E3232C" w:rsidRPr="00B80D56">
        <w:rPr>
          <w:rFonts w:ascii="Arial" w:hAnsi="Arial" w:cs="Arial"/>
          <w:lang w:eastAsia="es-ES_tradnl"/>
        </w:rPr>
        <w:t xml:space="preserve"> cuando la víctima del delito patrimonial es una persona con discapacidad </w:t>
      </w:r>
      <w:r w:rsidRPr="00B80D56">
        <w:rPr>
          <w:rFonts w:ascii="Arial" w:hAnsi="Arial" w:cs="Arial"/>
          <w:lang w:eastAsia="es-ES_tradnl"/>
        </w:rPr>
        <w:t xml:space="preserve">de </w:t>
      </w:r>
      <w:r w:rsidR="00996744" w:rsidRPr="00B80D56">
        <w:rPr>
          <w:rFonts w:ascii="Arial" w:hAnsi="Arial" w:cs="Arial"/>
          <w:lang w:eastAsia="es-ES_tradnl"/>
        </w:rPr>
        <w:t>especial</w:t>
      </w:r>
      <w:r w:rsidRPr="00B80D56">
        <w:rPr>
          <w:rFonts w:ascii="Arial" w:hAnsi="Arial" w:cs="Arial"/>
          <w:lang w:eastAsia="es-ES_tradnl"/>
        </w:rPr>
        <w:t xml:space="preserve"> protección </w:t>
      </w:r>
      <w:r w:rsidR="0070497E" w:rsidRPr="00B80D56">
        <w:rPr>
          <w:rFonts w:ascii="Arial" w:hAnsi="Arial" w:cs="Arial"/>
          <w:lang w:eastAsia="es-ES_tradnl"/>
        </w:rPr>
        <w:t>e incluso considerarse como agravante de la pena</w:t>
      </w:r>
      <w:r w:rsidR="00E3232C" w:rsidRPr="00B80D56">
        <w:rPr>
          <w:rFonts w:ascii="Arial" w:hAnsi="Arial" w:cs="Arial"/>
          <w:lang w:eastAsia="es-ES_tradnl"/>
        </w:rPr>
        <w:t>.</w:t>
      </w:r>
    </w:p>
    <w:p w:rsidR="00E3232C" w:rsidRPr="00B80D56" w:rsidRDefault="00E3232C" w:rsidP="00996744">
      <w:pPr>
        <w:jc w:val="both"/>
        <w:rPr>
          <w:rFonts w:ascii="Arial" w:hAnsi="Arial" w:cs="Arial"/>
          <w:lang w:eastAsia="es-ES_tradnl"/>
        </w:rPr>
      </w:pPr>
    </w:p>
    <w:p w:rsidR="00E3232C" w:rsidRPr="00B80D56" w:rsidRDefault="00E3232C" w:rsidP="00996744">
      <w:pPr>
        <w:jc w:val="both"/>
        <w:rPr>
          <w:rFonts w:ascii="Arial" w:hAnsi="Arial" w:cs="Arial"/>
          <w:b/>
          <w:lang w:eastAsia="es-ES_tradnl"/>
        </w:rPr>
      </w:pPr>
      <w:r w:rsidRPr="00B80D56">
        <w:rPr>
          <w:rFonts w:ascii="Arial" w:hAnsi="Arial" w:cs="Arial"/>
          <w:b/>
          <w:lang w:eastAsia="es-ES_tradnl"/>
        </w:rPr>
        <w:t>PROPUESTA</w:t>
      </w:r>
    </w:p>
    <w:p w:rsidR="00E3232C" w:rsidRPr="00B80D56" w:rsidRDefault="00E3232C" w:rsidP="00996744">
      <w:pPr>
        <w:jc w:val="both"/>
        <w:rPr>
          <w:rFonts w:ascii="Arial" w:hAnsi="Arial" w:cs="Arial"/>
        </w:rPr>
      </w:pPr>
    </w:p>
    <w:p w:rsidR="00E3232C" w:rsidRPr="00B80D56" w:rsidRDefault="009B40FF" w:rsidP="00996744">
      <w:pPr>
        <w:jc w:val="both"/>
        <w:rPr>
          <w:rFonts w:ascii="Arial" w:hAnsi="Arial" w:cs="Arial"/>
        </w:rPr>
      </w:pPr>
      <w:r w:rsidRPr="00B80D56">
        <w:rPr>
          <w:rFonts w:ascii="Arial" w:hAnsi="Arial" w:cs="Arial"/>
        </w:rPr>
        <w:t>Se propone la modificación de</w:t>
      </w:r>
      <w:r w:rsidR="00996744" w:rsidRPr="00B80D56">
        <w:rPr>
          <w:rFonts w:ascii="Arial" w:hAnsi="Arial" w:cs="Arial"/>
        </w:rPr>
        <w:t>l</w:t>
      </w:r>
      <w:r w:rsidR="00E3232C" w:rsidRPr="00B80D56">
        <w:rPr>
          <w:rFonts w:ascii="Arial" w:hAnsi="Arial" w:cs="Arial"/>
        </w:rPr>
        <w:t xml:space="preserve"> artículo 268</w:t>
      </w:r>
      <w:r w:rsidRPr="00B80D56">
        <w:rPr>
          <w:rFonts w:ascii="Arial" w:hAnsi="Arial" w:cs="Arial"/>
        </w:rPr>
        <w:t xml:space="preserve">, que </w:t>
      </w:r>
      <w:r w:rsidR="00996744" w:rsidRPr="00B80D56">
        <w:rPr>
          <w:rFonts w:ascii="Arial" w:hAnsi="Arial" w:cs="Arial"/>
        </w:rPr>
        <w:t>queda</w:t>
      </w:r>
      <w:r w:rsidRPr="00B80D56">
        <w:rPr>
          <w:rFonts w:ascii="Arial" w:hAnsi="Arial" w:cs="Arial"/>
        </w:rPr>
        <w:t>ría</w:t>
      </w:r>
      <w:r w:rsidR="00996744" w:rsidRPr="00B80D56">
        <w:rPr>
          <w:rFonts w:ascii="Arial" w:hAnsi="Arial" w:cs="Arial"/>
        </w:rPr>
        <w:t xml:space="preserve"> redactado de la siguiente manera</w:t>
      </w:r>
      <w:r w:rsidR="00E3232C" w:rsidRPr="00B80D56">
        <w:rPr>
          <w:rFonts w:ascii="Arial" w:hAnsi="Arial" w:cs="Arial"/>
        </w:rPr>
        <w:t>:</w:t>
      </w:r>
    </w:p>
    <w:p w:rsidR="00E3232C" w:rsidRPr="00B80D56" w:rsidRDefault="00E3232C" w:rsidP="00996744">
      <w:pPr>
        <w:jc w:val="both"/>
        <w:rPr>
          <w:rFonts w:ascii="Arial" w:hAnsi="Arial" w:cs="Arial"/>
        </w:rPr>
      </w:pPr>
    </w:p>
    <w:p w:rsidR="00E3232C" w:rsidRPr="00B80D56" w:rsidRDefault="009B40FF" w:rsidP="00996744">
      <w:pPr>
        <w:ind w:left="284" w:right="284"/>
        <w:jc w:val="both"/>
        <w:rPr>
          <w:rFonts w:ascii="Arial" w:hAnsi="Arial" w:cs="Arial"/>
          <w:i/>
        </w:rPr>
      </w:pPr>
      <w:r w:rsidRPr="00B80D56">
        <w:rPr>
          <w:rFonts w:ascii="Arial" w:hAnsi="Arial" w:cs="Arial"/>
          <w:i/>
        </w:rPr>
        <w:t>“</w:t>
      </w:r>
      <w:r w:rsidR="00996744" w:rsidRPr="00B80D56">
        <w:rPr>
          <w:rFonts w:ascii="Arial" w:hAnsi="Arial" w:cs="Arial"/>
          <w:i/>
        </w:rPr>
        <w:t xml:space="preserve">1. </w:t>
      </w:r>
      <w:r w:rsidR="00E3232C" w:rsidRPr="00B80D56">
        <w:rPr>
          <w:rFonts w:ascii="Arial" w:hAnsi="Arial" w:cs="Arial"/>
          <w:i/>
        </w:rPr>
        <w:t xml:space="preserve">Están exentos de responsabilidad criminal y sujetos únicamente a la civil los cónyuges que no estuvieren separados legalmente o de hecho o en proceso judicial de separación, divorcio o nulidad de su matrimonio y los ascendientes, descendientes y hermanos por naturaleza o por adopción, así como los afines en primer grado si viviesen juntos, por los </w:t>
      </w:r>
      <w:r w:rsidR="00E3232C" w:rsidRPr="00B80D56">
        <w:rPr>
          <w:rFonts w:ascii="Arial" w:hAnsi="Arial" w:cs="Arial"/>
          <w:i/>
        </w:rPr>
        <w:lastRenderedPageBreak/>
        <w:t>delitos patrimoniales que se causaren entre sí, siempre que no concurra violencia o intimidación.</w:t>
      </w:r>
    </w:p>
    <w:p w:rsidR="00E3232C" w:rsidRPr="00B80D56" w:rsidRDefault="00E3232C" w:rsidP="00996744">
      <w:pPr>
        <w:ind w:left="284" w:right="284"/>
        <w:jc w:val="both"/>
        <w:rPr>
          <w:rFonts w:ascii="Arial" w:hAnsi="Arial" w:cs="Arial"/>
          <w:i/>
        </w:rPr>
      </w:pPr>
    </w:p>
    <w:p w:rsidR="00996744" w:rsidRPr="00B80D56" w:rsidRDefault="00E3232C" w:rsidP="00996744">
      <w:pPr>
        <w:ind w:left="284" w:right="284"/>
        <w:jc w:val="both"/>
        <w:rPr>
          <w:rFonts w:ascii="Arial" w:hAnsi="Arial" w:cs="Arial"/>
          <w:b/>
          <w:u w:val="single"/>
        </w:rPr>
      </w:pPr>
      <w:r w:rsidRPr="00B80D56">
        <w:rPr>
          <w:rFonts w:ascii="Arial" w:hAnsi="Arial" w:cs="Arial"/>
          <w:i/>
        </w:rPr>
        <w:t>2.</w:t>
      </w:r>
      <w:r w:rsidR="009B40FF" w:rsidRPr="00B80D56">
        <w:rPr>
          <w:rFonts w:ascii="Arial" w:hAnsi="Arial" w:cs="Arial"/>
          <w:i/>
        </w:rPr>
        <w:t xml:space="preserve"> Esta disposición no es aplicable a los extraños que participaren en el delito</w:t>
      </w:r>
      <w:r w:rsidR="009B40FF" w:rsidRPr="00B80D56">
        <w:rPr>
          <w:rFonts w:ascii="Arial" w:hAnsi="Arial" w:cs="Arial"/>
          <w:b/>
          <w:i/>
          <w:u w:val="single"/>
        </w:rPr>
        <w:t>, ni tampoco cuando</w:t>
      </w:r>
      <w:r w:rsidRPr="00B80D56">
        <w:rPr>
          <w:rFonts w:ascii="Arial" w:hAnsi="Arial" w:cs="Arial"/>
          <w:b/>
          <w:i/>
          <w:u w:val="single"/>
        </w:rPr>
        <w:t xml:space="preserve"> l</w:t>
      </w:r>
      <w:r w:rsidR="009B40FF" w:rsidRPr="00B80D56">
        <w:rPr>
          <w:rFonts w:ascii="Arial" w:hAnsi="Arial" w:cs="Arial"/>
          <w:b/>
          <w:i/>
          <w:u w:val="single"/>
        </w:rPr>
        <w:t xml:space="preserve">os sujetos pasivos </w:t>
      </w:r>
      <w:r w:rsidR="00AE6906" w:rsidRPr="00B80D56">
        <w:rPr>
          <w:rFonts w:ascii="Arial" w:hAnsi="Arial" w:cs="Arial"/>
          <w:b/>
          <w:i/>
          <w:u w:val="single"/>
        </w:rPr>
        <w:t xml:space="preserve">del mismo sean </w:t>
      </w:r>
      <w:r w:rsidRPr="00B80D56">
        <w:rPr>
          <w:rFonts w:ascii="Arial" w:hAnsi="Arial" w:cs="Arial"/>
          <w:b/>
          <w:i/>
          <w:u w:val="single"/>
        </w:rPr>
        <w:t xml:space="preserve">personas </w:t>
      </w:r>
      <w:r w:rsidR="00996744" w:rsidRPr="00B80D56">
        <w:rPr>
          <w:rFonts w:ascii="Arial" w:hAnsi="Arial" w:cs="Arial"/>
          <w:b/>
          <w:i/>
          <w:u w:val="single"/>
        </w:rPr>
        <w:t xml:space="preserve">con discapacidad </w:t>
      </w:r>
      <w:r w:rsidR="009B40FF" w:rsidRPr="00B80D56">
        <w:rPr>
          <w:rFonts w:ascii="Arial" w:hAnsi="Arial" w:cs="Arial"/>
          <w:b/>
          <w:i/>
          <w:u w:val="single"/>
        </w:rPr>
        <w:t xml:space="preserve">de las consideradas en este Código como de especial protección. </w:t>
      </w:r>
    </w:p>
    <w:p w:rsidR="00996744" w:rsidRPr="00B80D56" w:rsidRDefault="0070497E" w:rsidP="00733443">
      <w:pPr>
        <w:pStyle w:val="NormalWeb"/>
        <w:ind w:left="284" w:right="284"/>
        <w:rPr>
          <w:rFonts w:ascii="Arial" w:hAnsi="Arial" w:cs="Arial"/>
          <w:b/>
          <w:i/>
          <w:sz w:val="24"/>
          <w:szCs w:val="24"/>
          <w:u w:val="single"/>
        </w:rPr>
      </w:pPr>
      <w:r w:rsidRPr="00B80D56">
        <w:rPr>
          <w:rFonts w:ascii="Arial" w:hAnsi="Arial" w:cs="Arial"/>
          <w:b/>
          <w:i/>
          <w:sz w:val="24"/>
          <w:szCs w:val="24"/>
          <w:u w:val="single"/>
        </w:rPr>
        <w:t>En e</w:t>
      </w:r>
      <w:r w:rsidR="009B40FF" w:rsidRPr="00B80D56">
        <w:rPr>
          <w:rFonts w:ascii="Arial" w:hAnsi="Arial" w:cs="Arial"/>
          <w:b/>
          <w:i/>
          <w:sz w:val="24"/>
          <w:szCs w:val="24"/>
          <w:u w:val="single"/>
        </w:rPr>
        <w:t xml:space="preserve">stos supuestos </w:t>
      </w:r>
      <w:r w:rsidRPr="00B80D56">
        <w:rPr>
          <w:rFonts w:ascii="Arial" w:hAnsi="Arial" w:cs="Arial"/>
          <w:b/>
          <w:i/>
          <w:sz w:val="24"/>
          <w:szCs w:val="24"/>
          <w:u w:val="single"/>
        </w:rPr>
        <w:t xml:space="preserve">de </w:t>
      </w:r>
      <w:r w:rsidR="009B40FF" w:rsidRPr="00B80D56">
        <w:rPr>
          <w:rFonts w:ascii="Arial" w:hAnsi="Arial" w:cs="Arial"/>
          <w:b/>
          <w:i/>
          <w:sz w:val="24"/>
          <w:szCs w:val="24"/>
          <w:u w:val="single"/>
        </w:rPr>
        <w:t xml:space="preserve">delitos patrimoniales contra </w:t>
      </w:r>
      <w:r w:rsidRPr="00B80D56">
        <w:rPr>
          <w:rFonts w:ascii="Arial" w:hAnsi="Arial" w:cs="Arial"/>
          <w:b/>
          <w:i/>
          <w:sz w:val="24"/>
          <w:szCs w:val="24"/>
          <w:u w:val="single"/>
        </w:rPr>
        <w:t>personas con discapacidad</w:t>
      </w:r>
      <w:r w:rsidR="009B40FF" w:rsidRPr="00B80D56">
        <w:rPr>
          <w:rFonts w:ascii="Arial" w:hAnsi="Arial" w:cs="Arial"/>
          <w:b/>
          <w:i/>
          <w:sz w:val="24"/>
          <w:szCs w:val="24"/>
          <w:u w:val="single"/>
        </w:rPr>
        <w:t xml:space="preserve"> de especial protección, </w:t>
      </w:r>
      <w:r w:rsidRPr="00B80D56">
        <w:rPr>
          <w:rFonts w:ascii="Arial" w:hAnsi="Arial" w:cs="Arial"/>
          <w:b/>
          <w:i/>
          <w:sz w:val="24"/>
          <w:szCs w:val="24"/>
          <w:u w:val="single"/>
        </w:rPr>
        <w:t xml:space="preserve">se considerará como </w:t>
      </w:r>
      <w:r w:rsidR="009B40FF" w:rsidRPr="00B80D56">
        <w:rPr>
          <w:rFonts w:ascii="Arial" w:hAnsi="Arial" w:cs="Arial"/>
          <w:b/>
          <w:i/>
          <w:sz w:val="24"/>
          <w:szCs w:val="24"/>
          <w:u w:val="single"/>
        </w:rPr>
        <w:t xml:space="preserve">circunstancia </w:t>
      </w:r>
      <w:r w:rsidRPr="00B80D56">
        <w:rPr>
          <w:rFonts w:ascii="Arial" w:hAnsi="Arial" w:cs="Arial"/>
          <w:b/>
          <w:i/>
          <w:sz w:val="24"/>
          <w:szCs w:val="24"/>
          <w:u w:val="single"/>
        </w:rPr>
        <w:t>agravante de la pena.</w:t>
      </w:r>
      <w:r w:rsidR="009B40FF" w:rsidRPr="00B80D56">
        <w:rPr>
          <w:rFonts w:ascii="Arial" w:hAnsi="Arial" w:cs="Arial"/>
          <w:i/>
          <w:sz w:val="24"/>
          <w:szCs w:val="24"/>
        </w:rPr>
        <w:t>”</w:t>
      </w:r>
    </w:p>
    <w:p w:rsidR="000E312C" w:rsidRPr="00B80D56" w:rsidRDefault="00996744" w:rsidP="009B40FF">
      <w:pPr>
        <w:pStyle w:val="NormalWeb"/>
        <w:ind w:left="284" w:right="284"/>
        <w:jc w:val="right"/>
        <w:rPr>
          <w:rFonts w:ascii="Arial" w:hAnsi="Arial" w:cs="Arial"/>
          <w:sz w:val="24"/>
          <w:szCs w:val="24"/>
        </w:rPr>
      </w:pPr>
      <w:r w:rsidRPr="00B80D56">
        <w:rPr>
          <w:rFonts w:ascii="Arial" w:hAnsi="Arial" w:cs="Arial"/>
          <w:b/>
          <w:i/>
          <w:sz w:val="24"/>
          <w:szCs w:val="24"/>
        </w:rPr>
        <w:tab/>
      </w:r>
      <w:r w:rsidRPr="00B80D56">
        <w:rPr>
          <w:rFonts w:ascii="Arial" w:hAnsi="Arial" w:cs="Arial"/>
          <w:b/>
          <w:i/>
          <w:sz w:val="24"/>
          <w:szCs w:val="24"/>
        </w:rPr>
        <w:tab/>
      </w:r>
      <w:r w:rsidRPr="00B80D56">
        <w:rPr>
          <w:rFonts w:ascii="Arial" w:hAnsi="Arial" w:cs="Arial"/>
          <w:b/>
          <w:i/>
          <w:sz w:val="24"/>
          <w:szCs w:val="24"/>
        </w:rPr>
        <w:tab/>
      </w:r>
      <w:r w:rsidRPr="00B80D56">
        <w:rPr>
          <w:rFonts w:ascii="Arial" w:hAnsi="Arial" w:cs="Arial"/>
          <w:b/>
          <w:i/>
          <w:sz w:val="24"/>
          <w:szCs w:val="24"/>
        </w:rPr>
        <w:tab/>
      </w:r>
      <w:r w:rsidRPr="00B80D56">
        <w:rPr>
          <w:rFonts w:ascii="Arial" w:hAnsi="Arial" w:cs="Arial"/>
          <w:b/>
          <w:i/>
          <w:sz w:val="24"/>
          <w:szCs w:val="24"/>
        </w:rPr>
        <w:tab/>
      </w:r>
      <w:r w:rsidR="00733443" w:rsidRPr="00B80D56">
        <w:rPr>
          <w:rFonts w:ascii="Arial" w:hAnsi="Arial" w:cs="Arial"/>
          <w:sz w:val="24"/>
          <w:szCs w:val="24"/>
        </w:rPr>
        <w:t>26</w:t>
      </w:r>
      <w:r w:rsidRPr="00B80D56">
        <w:rPr>
          <w:rFonts w:ascii="Arial" w:hAnsi="Arial" w:cs="Arial"/>
          <w:sz w:val="24"/>
          <w:szCs w:val="24"/>
        </w:rPr>
        <w:t xml:space="preserve"> de diciembre de 2014</w:t>
      </w:r>
      <w:r w:rsidR="009B40FF" w:rsidRPr="00B80D56">
        <w:rPr>
          <w:rFonts w:ascii="Arial" w:hAnsi="Arial" w:cs="Arial"/>
          <w:sz w:val="24"/>
          <w:szCs w:val="24"/>
        </w:rPr>
        <w:t>.</w:t>
      </w:r>
    </w:p>
    <w:p w:rsidR="009B40FF" w:rsidRPr="00B80D56" w:rsidRDefault="009B40FF" w:rsidP="009B40FF">
      <w:pPr>
        <w:pStyle w:val="NormalWeb"/>
        <w:ind w:left="284" w:right="284"/>
        <w:jc w:val="right"/>
        <w:rPr>
          <w:rFonts w:ascii="Arial" w:hAnsi="Arial" w:cs="Arial"/>
          <w:sz w:val="24"/>
          <w:szCs w:val="24"/>
        </w:rPr>
      </w:pPr>
    </w:p>
    <w:p w:rsidR="009B40FF" w:rsidRPr="00B80D56" w:rsidRDefault="009B40FF" w:rsidP="009B40FF">
      <w:pPr>
        <w:pStyle w:val="NormalWeb"/>
        <w:ind w:left="284" w:right="284"/>
        <w:jc w:val="center"/>
        <w:rPr>
          <w:rFonts w:ascii="Arial" w:hAnsi="Arial" w:cs="Arial"/>
          <w:b/>
          <w:sz w:val="24"/>
          <w:szCs w:val="24"/>
        </w:rPr>
      </w:pPr>
      <w:r w:rsidRPr="00B80D56">
        <w:rPr>
          <w:rFonts w:ascii="Arial" w:hAnsi="Arial" w:cs="Arial"/>
          <w:b/>
          <w:sz w:val="24"/>
          <w:szCs w:val="24"/>
        </w:rPr>
        <w:t>CERMI</w:t>
      </w:r>
    </w:p>
    <w:p w:rsidR="009B40FF" w:rsidRPr="00B80D56" w:rsidRDefault="009B40FF" w:rsidP="009B40FF">
      <w:pPr>
        <w:pStyle w:val="NormalWeb"/>
        <w:ind w:left="284" w:right="284"/>
        <w:jc w:val="center"/>
        <w:rPr>
          <w:rFonts w:ascii="Arial" w:hAnsi="Arial" w:cs="Arial"/>
          <w:b/>
          <w:sz w:val="24"/>
          <w:szCs w:val="24"/>
        </w:rPr>
      </w:pPr>
      <w:hyperlink r:id="rId10" w:history="1">
        <w:r w:rsidRPr="00B80D56">
          <w:rPr>
            <w:rStyle w:val="Hipervnculo"/>
            <w:rFonts w:ascii="Arial" w:hAnsi="Arial" w:cs="Arial"/>
            <w:b/>
            <w:sz w:val="24"/>
            <w:szCs w:val="24"/>
          </w:rPr>
          <w:t>www.cermi.es</w:t>
        </w:r>
      </w:hyperlink>
    </w:p>
    <w:p w:rsidR="009B40FF" w:rsidRPr="00B80D56" w:rsidRDefault="009B40FF" w:rsidP="009B40FF">
      <w:pPr>
        <w:pStyle w:val="NormalWeb"/>
        <w:ind w:left="284" w:right="284"/>
        <w:jc w:val="right"/>
        <w:rPr>
          <w:rFonts w:ascii="Arial" w:hAnsi="Arial" w:cs="Arial"/>
          <w:sz w:val="24"/>
          <w:szCs w:val="24"/>
        </w:rPr>
      </w:pPr>
    </w:p>
    <w:sectPr w:rsidR="009B40FF" w:rsidRPr="00B80D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E50" w:rsidRDefault="00A92E50">
      <w:r>
        <w:separator/>
      </w:r>
    </w:p>
  </w:endnote>
  <w:endnote w:type="continuationSeparator" w:id="1">
    <w:p w:rsidR="00A92E50" w:rsidRDefault="00A92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E50" w:rsidRDefault="00A92E50">
      <w:r>
        <w:separator/>
      </w:r>
    </w:p>
  </w:footnote>
  <w:footnote w:type="continuationSeparator" w:id="1">
    <w:p w:rsidR="00A92E50" w:rsidRDefault="00A92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7857AC"/>
    <w:rsid w:val="00067C7A"/>
    <w:rsid w:val="000E312C"/>
    <w:rsid w:val="00102B46"/>
    <w:rsid w:val="001B4AD0"/>
    <w:rsid w:val="002B18CE"/>
    <w:rsid w:val="004E5CB9"/>
    <w:rsid w:val="00660F19"/>
    <w:rsid w:val="006C13A0"/>
    <w:rsid w:val="0070497E"/>
    <w:rsid w:val="00731698"/>
    <w:rsid w:val="00733443"/>
    <w:rsid w:val="00766311"/>
    <w:rsid w:val="007857AC"/>
    <w:rsid w:val="007E7B83"/>
    <w:rsid w:val="008B0C27"/>
    <w:rsid w:val="00996744"/>
    <w:rsid w:val="009B40FF"/>
    <w:rsid w:val="00A006E6"/>
    <w:rsid w:val="00A044AB"/>
    <w:rsid w:val="00A92E50"/>
    <w:rsid w:val="00AC7387"/>
    <w:rsid w:val="00AE44BB"/>
    <w:rsid w:val="00AE6906"/>
    <w:rsid w:val="00B52866"/>
    <w:rsid w:val="00B80D56"/>
    <w:rsid w:val="00C44E50"/>
    <w:rsid w:val="00CF3C77"/>
    <w:rsid w:val="00D45B38"/>
    <w:rsid w:val="00E3232C"/>
    <w:rsid w:val="00E55D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parrafo1">
    <w:name w:val="parrafo1"/>
    <w:basedOn w:val="Normal"/>
    <w:rsid w:val="00D45B38"/>
    <w:pPr>
      <w:spacing w:before="180" w:after="180"/>
      <w:ind w:firstLine="360"/>
      <w:jc w:val="both"/>
    </w:pPr>
  </w:style>
  <w:style w:type="paragraph" w:styleId="NormalWeb">
    <w:name w:val="Normal (Web)"/>
    <w:basedOn w:val="Normal"/>
    <w:rsid w:val="00E3232C"/>
    <w:pPr>
      <w:spacing w:before="100" w:beforeAutospacing="1" w:after="100" w:afterAutospacing="1"/>
      <w:jc w:val="both"/>
    </w:pPr>
    <w:rPr>
      <w:rFonts w:ascii="Verdana" w:hAnsi="Verdana"/>
      <w:sz w:val="17"/>
      <w:szCs w:val="17"/>
    </w:rPr>
  </w:style>
  <w:style w:type="paragraph" w:styleId="Textonotapie">
    <w:name w:val="footnote text"/>
    <w:basedOn w:val="Normal"/>
    <w:semiHidden/>
    <w:rsid w:val="00CF3C77"/>
    <w:rPr>
      <w:sz w:val="20"/>
      <w:szCs w:val="20"/>
    </w:rPr>
  </w:style>
  <w:style w:type="character" w:styleId="Refdenotaalpie">
    <w:name w:val="footnote reference"/>
    <w:basedOn w:val="Fuentedeprrafopredeter"/>
    <w:semiHidden/>
    <w:rsid w:val="00CF3C77"/>
    <w:rPr>
      <w:vertAlign w:val="superscript"/>
    </w:rPr>
  </w:style>
  <w:style w:type="character" w:styleId="Hipervnculo">
    <w:name w:val="Hyperlink"/>
    <w:basedOn w:val="Fuentedeprrafopredeter"/>
    <w:rsid w:val="009B40FF"/>
    <w:rPr>
      <w:color w:val="0000FF"/>
      <w:u w:val="single"/>
    </w:rPr>
  </w:style>
</w:styles>
</file>

<file path=word/webSettings.xml><?xml version="1.0" encoding="utf-8"?>
<w:webSettings xmlns:r="http://schemas.openxmlformats.org/officeDocument/2006/relationships" xmlns:w="http://schemas.openxmlformats.org/wordprocessingml/2006/main">
  <w:divs>
    <w:div w:id="725449105">
      <w:bodyDiv w:val="1"/>
      <w:marLeft w:val="0"/>
      <w:marRight w:val="0"/>
      <w:marTop w:val="0"/>
      <w:marBottom w:val="0"/>
      <w:divBdr>
        <w:top w:val="none" w:sz="0" w:space="0" w:color="auto"/>
        <w:left w:val="none" w:sz="0" w:space="0" w:color="auto"/>
        <w:bottom w:val="none" w:sz="0" w:space="0" w:color="auto"/>
        <w:right w:val="none" w:sz="0" w:space="0" w:color="auto"/>
      </w:divBdr>
      <w:divsChild>
        <w:div w:id="1958485702">
          <w:marLeft w:val="0"/>
          <w:marRight w:val="0"/>
          <w:marTop w:val="720"/>
          <w:marBottom w:val="720"/>
          <w:divBdr>
            <w:top w:val="none" w:sz="0" w:space="0" w:color="auto"/>
            <w:left w:val="none" w:sz="0" w:space="0" w:color="auto"/>
            <w:bottom w:val="none" w:sz="0" w:space="0" w:color="auto"/>
            <w:right w:val="none" w:sz="0" w:space="0" w:color="auto"/>
          </w:divBdr>
          <w:divsChild>
            <w:div w:id="197007938">
              <w:marLeft w:val="0"/>
              <w:marRight w:val="0"/>
              <w:marTop w:val="0"/>
              <w:marBottom w:val="0"/>
              <w:divBdr>
                <w:top w:val="none" w:sz="0" w:space="0" w:color="auto"/>
                <w:left w:val="none" w:sz="0" w:space="0" w:color="auto"/>
                <w:bottom w:val="none" w:sz="0" w:space="0" w:color="auto"/>
                <w:right w:val="none" w:sz="0" w:space="0" w:color="auto"/>
              </w:divBdr>
              <w:divsChild>
                <w:div w:id="862741558">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910E8E-3BC9-4EDB-A8EE-480A7F802226}">
  <ds:schemaRefs>
    <ds:schemaRef ds:uri="http://schemas.microsoft.com/sharepoint/v3/contenttype/forms"/>
  </ds:schemaRefs>
</ds:datastoreItem>
</file>

<file path=customXml/itemProps2.xml><?xml version="1.0" encoding="utf-8"?>
<ds:datastoreItem xmlns:ds="http://schemas.openxmlformats.org/officeDocument/2006/customXml" ds:itemID="{34E7B996-7235-459F-8FA0-2B114E839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4E15FF1-FE11-4B60-87F7-E6236CB60F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PROPUESTA DE REFORMA DEL ARTÍCULO 268 DEL CÓDIGO PENAL: EXCUSA ABSOLUTORIA EN LOS DELITOS PATRIMONIALES ENTRE PARIENTES, CUANDO LA VICTIMA ES UNA PERSONA CON DISCAPACIDAD ESPECIALMENTE VULNERABLE</vt:lpstr>
    </vt:vector>
  </TitlesOfParts>
  <Company>Hewlett-Packard Company</Company>
  <LinksUpToDate>false</LinksUpToDate>
  <CharactersWithSpaces>5775</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REFORMA DEL ARTÍCULO 268 DEL CÓDIGO PENAL: EXCUSA ABSOLUTORIA EN LOS DELITOS PATRIMONIALES ENTRE PARIENTES, CUANDO LA VICTIMA ES UNA PERSONA CON DISCAPACIDAD ESPECIALMENTE VULNERABLE</dc:title>
  <dc:subject/>
  <dc:creator>LCPB</dc:creator>
  <cp:keywords/>
  <cp:lastModifiedBy>babella.svm</cp:lastModifiedBy>
  <cp:revision>2</cp:revision>
  <dcterms:created xsi:type="dcterms:W3CDTF">2015-01-07T11:07:00Z</dcterms:created>
  <dcterms:modified xsi:type="dcterms:W3CDTF">2015-01-07T11:07:00Z</dcterms:modified>
</cp:coreProperties>
</file>