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8D" w:rsidRDefault="0061628D" w:rsidP="0061628D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E452F" w:rsidRDefault="001E452F" w:rsidP="0061628D">
      <w:pPr>
        <w:jc w:val="both"/>
        <w:rPr>
          <w:b/>
          <w:sz w:val="28"/>
          <w:szCs w:val="28"/>
        </w:rPr>
      </w:pPr>
    </w:p>
    <w:p w:rsidR="001E452F" w:rsidRDefault="001E452F" w:rsidP="001E452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78280" cy="1000760"/>
            <wp:effectExtent l="0" t="0" r="0" b="0"/>
            <wp:docPr id="1" name="Imagen 1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F7" w:rsidRPr="0061628D" w:rsidRDefault="00161ADF" w:rsidP="006162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RESUMEN DE LAS </w:t>
      </w:r>
      <w:r w:rsidR="004215F7" w:rsidRPr="0061628D">
        <w:rPr>
          <w:b/>
          <w:sz w:val="28"/>
          <w:szCs w:val="28"/>
        </w:rPr>
        <w:t xml:space="preserve">OBSERVACIONES FINALES DEL COMITÉ DE LOS DERECHOS DE LAS PERSONAS CON DISCAPACIDAD AL INFORME </w:t>
      </w:r>
      <w:r w:rsidR="00C70291">
        <w:rPr>
          <w:b/>
          <w:sz w:val="28"/>
          <w:szCs w:val="28"/>
        </w:rPr>
        <w:t xml:space="preserve">FINAL </w:t>
      </w:r>
      <w:r w:rsidR="004215F7" w:rsidRPr="0061628D">
        <w:rPr>
          <w:b/>
          <w:sz w:val="28"/>
          <w:szCs w:val="28"/>
        </w:rPr>
        <w:t xml:space="preserve">PRESENTADO POR LA UNIÓN </w:t>
      </w:r>
      <w:r w:rsidR="00285958" w:rsidRPr="0061628D">
        <w:rPr>
          <w:b/>
          <w:sz w:val="28"/>
          <w:szCs w:val="28"/>
        </w:rPr>
        <w:t>EUROPEA.</w:t>
      </w:r>
    </w:p>
    <w:p w:rsidR="001A04BF" w:rsidRDefault="00514A21" w:rsidP="0061628D">
      <w:pPr>
        <w:jc w:val="both"/>
      </w:pPr>
      <w:r w:rsidRPr="00514A21">
        <w:t>Las observacione</w:t>
      </w:r>
      <w:r>
        <w:t>s</w:t>
      </w:r>
      <w:r w:rsidRPr="00514A21">
        <w:t xml:space="preserve"> finales del Comité marcan</w:t>
      </w:r>
      <w:r>
        <w:t xml:space="preserve"> claras líneas de a</w:t>
      </w:r>
      <w:r w:rsidR="004A2599">
        <w:t xml:space="preserve">ctuación en el ámbito de la UE con un </w:t>
      </w:r>
      <w:r w:rsidR="001A04BF">
        <w:t>mandato</w:t>
      </w:r>
      <w:r w:rsidR="004A2599">
        <w:t xml:space="preserve"> claro: transversalizar la discapacidad en todos los ámbitos de la Unión desd</w:t>
      </w:r>
      <w:r w:rsidR="001A04BF">
        <w:t>e los mandatos de la Convención.</w:t>
      </w:r>
    </w:p>
    <w:p w:rsidR="0009111D" w:rsidRDefault="004A2599" w:rsidP="0061628D">
      <w:pPr>
        <w:jc w:val="both"/>
      </w:pPr>
      <w:r>
        <w:t>E</w:t>
      </w:r>
      <w:r w:rsidR="00514A21">
        <w:t>n primer lugar</w:t>
      </w:r>
      <w:r w:rsidR="001A04BF">
        <w:t>, de forma general,</w:t>
      </w:r>
      <w:r w:rsidR="00514A21">
        <w:t xml:space="preserve"> recomiendan a la revisión de </w:t>
      </w:r>
      <w:r w:rsidR="00F7156F">
        <w:t xml:space="preserve">toda </w:t>
      </w:r>
      <w:r w:rsidR="00514A21">
        <w:t xml:space="preserve">la normativa </w:t>
      </w:r>
      <w:r w:rsidR="001A04BF">
        <w:t xml:space="preserve">europea </w:t>
      </w:r>
      <w:r w:rsidR="00514A21">
        <w:t>para su adecua</w:t>
      </w:r>
      <w:r w:rsidR="00F7156F">
        <w:t>ción a la Convención, así como</w:t>
      </w:r>
      <w:r w:rsidR="00514A21">
        <w:t xml:space="preserve"> la adopción de una estrategia de implementación. Dentro de los ámbitos de reforma legislativa </w:t>
      </w:r>
      <w:r w:rsidR="001A04BF">
        <w:t xml:space="preserve">específica, </w:t>
      </w:r>
      <w:r w:rsidR="00514A21">
        <w:t xml:space="preserve">marca la necesaria elaboración </w:t>
      </w:r>
      <w:r w:rsidR="0093592B">
        <w:t>de normativa</w:t>
      </w:r>
      <w:r w:rsidR="00514A21">
        <w:t xml:space="preserve"> antidiscriminación que reconozca este derecho por razón de discapacidad</w:t>
      </w:r>
      <w:r w:rsidR="0093592B">
        <w:t xml:space="preserve">, </w:t>
      </w:r>
      <w:r w:rsidR="00F7156F">
        <w:t xml:space="preserve">también hace referencia </w:t>
      </w:r>
      <w:r w:rsidR="0093592B">
        <w:t xml:space="preserve"> </w:t>
      </w:r>
      <w:r w:rsidR="00F7156F">
        <w:t>a la</w:t>
      </w:r>
      <w:r w:rsidR="0093592B">
        <w:t xml:space="preserve"> accesibilidad</w:t>
      </w:r>
      <w:r w:rsidR="00F7156F">
        <w:t xml:space="preserve"> y a </w:t>
      </w:r>
      <w:r w:rsidR="00514A21">
        <w:t>la regulación de los derechos de los pasajeros.</w:t>
      </w:r>
      <w:r>
        <w:t xml:space="preserve"> Prevé, que en este trabajo</w:t>
      </w:r>
      <w:r w:rsidR="001A04BF">
        <w:t>,</w:t>
      </w:r>
      <w:r>
        <w:t xml:space="preserve"> debe haber una participación de las personas con discapacidad a través de las organizaciones que las representan</w:t>
      </w:r>
    </w:p>
    <w:p w:rsidR="00514A21" w:rsidRDefault="00514A21" w:rsidP="0061628D">
      <w:pPr>
        <w:jc w:val="both"/>
      </w:pPr>
      <w:r>
        <w:t>Hace hin</w:t>
      </w:r>
      <w:r w:rsidR="001A04BF">
        <w:t xml:space="preserve">capié en determinados aspectos, así en relación a la capacidad jurídica, remarca la necesidad de </w:t>
      </w:r>
      <w:r>
        <w:t xml:space="preserve">que </w:t>
      </w:r>
      <w:r w:rsidR="001A04BF">
        <w:t xml:space="preserve">todas </w:t>
      </w:r>
      <w:r>
        <w:t xml:space="preserve">las personas con discapacidad puedan ejercer los derechos que la Unión reconoce, incluido el acceso a la Justicia,  el derecho al voto, y a la salud y en relación a la misma insiste en las cuestiones ligadas al consentimiento informado. </w:t>
      </w:r>
      <w:r w:rsidR="004A2599">
        <w:t xml:space="preserve"> </w:t>
      </w:r>
      <w:r>
        <w:t xml:space="preserve">Otro aspecto a resaltar es el relativo a la educación inclusiva y de calidad, y </w:t>
      </w:r>
      <w:r w:rsidR="001A04BF">
        <w:t xml:space="preserve">que </w:t>
      </w:r>
      <w:r>
        <w:t>deben i</w:t>
      </w:r>
      <w:r w:rsidR="001A04BF">
        <w:t>dentificarse</w:t>
      </w:r>
      <w:r>
        <w:t xml:space="preserve"> indicadores específicos de discapacidad en la Estrategia Europea 2020</w:t>
      </w:r>
      <w:r w:rsidR="004A2599">
        <w:t>.</w:t>
      </w:r>
    </w:p>
    <w:p w:rsidR="004A2599" w:rsidRDefault="004A2599" w:rsidP="0061628D">
      <w:pPr>
        <w:jc w:val="both"/>
      </w:pPr>
      <w:r>
        <w:t>También existen menciones expresas a situaciones que requieren ser visibilizadas, como la situación de las mujeres, de la infancia o determinadas discapacidades como enfermedad mental o discapacidad intelectual.</w:t>
      </w:r>
    </w:p>
    <w:p w:rsidR="001A04BF" w:rsidRDefault="001A04BF" w:rsidP="0061628D">
      <w:pPr>
        <w:jc w:val="both"/>
      </w:pPr>
      <w:r>
        <w:t xml:space="preserve">Es de destacar que en el ámbito de la capacidad jurídica y la accesibilidad, la recomendación de alinear la actuación y la regulación europea con los mandatos de la Convención también incluye a las dos observaciones generales del Comité, </w:t>
      </w:r>
      <w:r w:rsidR="00F7156F">
        <w:t>relativas a estas dos materias, y que por tanto se define un marco más específico de actuación.</w:t>
      </w:r>
    </w:p>
    <w:p w:rsidR="001A04BF" w:rsidRPr="00514A21" w:rsidRDefault="001A04BF" w:rsidP="0061628D">
      <w:pPr>
        <w:jc w:val="both"/>
      </w:pPr>
      <w:r>
        <w:t>Por último</w:t>
      </w:r>
      <w:r w:rsidR="00F7156F">
        <w:t>,</w:t>
      </w:r>
      <w:r>
        <w:t xml:space="preserve"> recomienda que desarrolle indicadores de derechos humanos en cooperación con las organizaciones de personas con discapacidad</w:t>
      </w:r>
      <w:r w:rsidR="00F7156F">
        <w:t>,</w:t>
      </w:r>
      <w:r>
        <w:t xml:space="preserve"> y una sistemática de recolección de datos comparable, comprensible y que incluya la dimensión de género, edad, población urbana y rural y tipo de discapacidad.</w:t>
      </w:r>
    </w:p>
    <w:p w:rsidR="004215F7" w:rsidRPr="004A2599" w:rsidRDefault="004215F7" w:rsidP="0061628D">
      <w:pPr>
        <w:jc w:val="both"/>
      </w:pPr>
    </w:p>
    <w:p w:rsidR="0029389C" w:rsidRDefault="004A2599" w:rsidP="0061628D">
      <w:pPr>
        <w:jc w:val="both"/>
      </w:pPr>
      <w:r w:rsidRPr="0061628D">
        <w:rPr>
          <w:b/>
          <w:sz w:val="28"/>
          <w:szCs w:val="28"/>
        </w:rPr>
        <w:t>EXTRACTO DE</w:t>
      </w:r>
      <w:r w:rsidR="004939A6" w:rsidRPr="0061628D">
        <w:rPr>
          <w:b/>
          <w:sz w:val="28"/>
          <w:szCs w:val="28"/>
        </w:rPr>
        <w:t xml:space="preserve"> LAS OBSERVACIONE</w:t>
      </w:r>
      <w:r w:rsidR="001A04BF">
        <w:rPr>
          <w:b/>
          <w:sz w:val="28"/>
          <w:szCs w:val="28"/>
        </w:rPr>
        <w:t>S</w:t>
      </w:r>
      <w:r w:rsidR="004939A6" w:rsidRPr="0061628D">
        <w:rPr>
          <w:b/>
          <w:sz w:val="28"/>
          <w:szCs w:val="28"/>
        </w:rPr>
        <w:t xml:space="preserve"> FINALES DEL COMITÉ DE LOS DERECHOS DE LAS PERSONAS CON DISCAPACIDAD AL INFORME PRESENTADO POR LA UNIÓN EUROPEA</w:t>
      </w:r>
      <w:r w:rsidR="004939A6">
        <w:t>.</w:t>
      </w:r>
    </w:p>
    <w:p w:rsidR="004939A6" w:rsidRPr="0021421E" w:rsidRDefault="001F7E66" w:rsidP="0061628D">
      <w:pPr>
        <w:pStyle w:val="Prrafodelista"/>
        <w:numPr>
          <w:ilvl w:val="0"/>
          <w:numId w:val="2"/>
        </w:numPr>
        <w:jc w:val="both"/>
        <w:rPr>
          <w:b/>
        </w:rPr>
      </w:pPr>
      <w:r w:rsidRPr="0021421E">
        <w:rPr>
          <w:b/>
        </w:rPr>
        <w:t>Aspectos Positivos:</w:t>
      </w:r>
    </w:p>
    <w:p w:rsidR="003E5256" w:rsidRDefault="001F7E66" w:rsidP="0061628D">
      <w:pPr>
        <w:pStyle w:val="Prrafodelista"/>
        <w:numPr>
          <w:ilvl w:val="1"/>
          <w:numId w:val="2"/>
        </w:numPr>
        <w:jc w:val="both"/>
      </w:pPr>
      <w:r>
        <w:t>La firma y ratificación de la UE de la Convención, como organización regional,  es un precedente en el sistema internacional de tratados</w:t>
      </w:r>
      <w:r w:rsidR="0021421E">
        <w:t>.</w:t>
      </w:r>
    </w:p>
    <w:p w:rsidR="001F7E66" w:rsidRDefault="003E5256" w:rsidP="0061628D">
      <w:pPr>
        <w:pStyle w:val="Prrafodelista"/>
        <w:numPr>
          <w:ilvl w:val="1"/>
          <w:numId w:val="2"/>
        </w:numPr>
        <w:jc w:val="both"/>
      </w:pPr>
      <w:r w:rsidRPr="003E5256">
        <w:t>Existe una tendencia positiva a incluir los derechos de las personas con discapacidad en diferentes ámbitos de la UE</w:t>
      </w:r>
      <w:r>
        <w:t>. Entre otros,  destacan que l</w:t>
      </w:r>
      <w:r w:rsidRPr="003E5256">
        <w:t xml:space="preserve">a regulación de los fondos estructurales para el período 2014-20120 incluye provisiones que reflejan la entrada en vigor de la </w:t>
      </w:r>
      <w:r w:rsidR="00582065" w:rsidRPr="003E5256">
        <w:t>Convención</w:t>
      </w:r>
      <w:r w:rsidR="00582065">
        <w:t>.</w:t>
      </w:r>
    </w:p>
    <w:p w:rsidR="00582065" w:rsidRDefault="00582065" w:rsidP="0061628D">
      <w:pPr>
        <w:pStyle w:val="Prrafodelista"/>
        <w:ind w:left="1080"/>
        <w:jc w:val="both"/>
      </w:pPr>
    </w:p>
    <w:p w:rsidR="0021421E" w:rsidRDefault="0021421E" w:rsidP="0061628D">
      <w:pPr>
        <w:pStyle w:val="Prrafodelista"/>
        <w:numPr>
          <w:ilvl w:val="0"/>
          <w:numId w:val="2"/>
        </w:numPr>
        <w:jc w:val="both"/>
        <w:rPr>
          <w:b/>
        </w:rPr>
      </w:pPr>
      <w:r w:rsidRPr="0021421E">
        <w:rPr>
          <w:b/>
        </w:rPr>
        <w:t>Aspectos de preocupación</w:t>
      </w:r>
      <w:r>
        <w:rPr>
          <w:b/>
        </w:rPr>
        <w:t xml:space="preserve"> de las obligaciones generales de la Convención (artículos </w:t>
      </w:r>
      <w:r w:rsidR="00582065">
        <w:rPr>
          <w:b/>
        </w:rPr>
        <w:t>del 1 al 4):</w:t>
      </w:r>
    </w:p>
    <w:p w:rsidR="0021421E" w:rsidRDefault="00582065" w:rsidP="0061628D">
      <w:pPr>
        <w:pStyle w:val="Prrafodelista"/>
        <w:numPr>
          <w:ilvl w:val="1"/>
          <w:numId w:val="2"/>
        </w:numPr>
        <w:jc w:val="both"/>
      </w:pPr>
      <w:r w:rsidRPr="00582065">
        <w:t>Invita a la firma del Protocolo adicional</w:t>
      </w:r>
      <w:r>
        <w:t>.</w:t>
      </w:r>
    </w:p>
    <w:p w:rsidR="00582065" w:rsidRDefault="00582065" w:rsidP="0061628D">
      <w:pPr>
        <w:pStyle w:val="Prrafodelista"/>
        <w:numPr>
          <w:ilvl w:val="1"/>
          <w:numId w:val="2"/>
        </w:numPr>
        <w:jc w:val="both"/>
      </w:pPr>
      <w:r>
        <w:t>Invita a revisar toda la normativa europea para alinearla con la Convención, a que en dicho proceso participen las organizaciones de personas con discapacidad y a que adopte u</w:t>
      </w:r>
      <w:r w:rsidR="0026624C">
        <w:t xml:space="preserve">na estrategia de implementación, así como a </w:t>
      </w:r>
      <w:r w:rsidR="00C76C1C">
        <w:t>la dotación</w:t>
      </w:r>
      <w:r w:rsidR="00625FB1">
        <w:t>.</w:t>
      </w:r>
      <w:r w:rsidR="00C76C1C">
        <w:t xml:space="preserve"> presupuestaria y a </w:t>
      </w:r>
      <w:r w:rsidR="0026624C">
        <w:t>l</w:t>
      </w:r>
      <w:r w:rsidR="00C76C1C">
        <w:t>a</w:t>
      </w:r>
      <w:r w:rsidR="0026624C">
        <w:t xml:space="preserve"> revisión de las directrices de impacto </w:t>
      </w:r>
      <w:r w:rsidR="0026624C" w:rsidRPr="0026624C">
        <w:t>para incluir una lista más completa de temas para una mejor evaluación del cumplimiento de los nuevos instrumentos de la UE con el texto de la ONU</w:t>
      </w:r>
      <w:r w:rsidR="0026624C">
        <w:t>.</w:t>
      </w:r>
    </w:p>
    <w:p w:rsidR="0026624C" w:rsidRDefault="00625FB1" w:rsidP="0061628D">
      <w:pPr>
        <w:pStyle w:val="Prrafodelista"/>
        <w:numPr>
          <w:ilvl w:val="1"/>
          <w:numId w:val="2"/>
        </w:numPr>
        <w:jc w:val="both"/>
      </w:pPr>
      <w:r>
        <w:t>Recomienda la actualización de su ámbito competencial y su lista de instrumentos.</w:t>
      </w:r>
    </w:p>
    <w:p w:rsidR="00874E6C" w:rsidRDefault="00874E6C" w:rsidP="0061628D">
      <w:pPr>
        <w:pStyle w:val="Prrafodelista"/>
        <w:ind w:left="1080"/>
        <w:jc w:val="both"/>
      </w:pPr>
    </w:p>
    <w:p w:rsidR="00874E6C" w:rsidRDefault="00874E6C" w:rsidP="0061628D">
      <w:pPr>
        <w:pStyle w:val="Prrafodelista"/>
        <w:numPr>
          <w:ilvl w:val="0"/>
          <w:numId w:val="2"/>
        </w:numPr>
        <w:jc w:val="both"/>
        <w:rPr>
          <w:b/>
        </w:rPr>
      </w:pPr>
      <w:r w:rsidRPr="0021421E">
        <w:rPr>
          <w:b/>
        </w:rPr>
        <w:t>Aspectos de preocupación</w:t>
      </w:r>
      <w:r>
        <w:rPr>
          <w:b/>
        </w:rPr>
        <w:t xml:space="preserve"> de las obligaciones específicas de la Convención (artículos del 5 al 30):</w:t>
      </w:r>
      <w:r w:rsidR="0093592B">
        <w:rPr>
          <w:b/>
        </w:rPr>
        <w:t xml:space="preserve">  </w:t>
      </w:r>
    </w:p>
    <w:p w:rsidR="00FB6A88" w:rsidRDefault="00CF64B0" w:rsidP="0061628D">
      <w:pPr>
        <w:pStyle w:val="Prrafodelista"/>
        <w:numPr>
          <w:ilvl w:val="1"/>
          <w:numId w:val="2"/>
        </w:numPr>
        <w:jc w:val="both"/>
      </w:pPr>
      <w:r w:rsidRPr="00CF64B0">
        <w:rPr>
          <w:u w:val="single"/>
        </w:rPr>
        <w:t>En el ámbito de la Igualdad</w:t>
      </w:r>
      <w:r>
        <w:t>: r</w:t>
      </w:r>
      <w:r w:rsidR="002277B6" w:rsidRPr="002277B6">
        <w:t>ecomienda la adopción de la Directiva antidiscriminación que incluya la protección por razón discapacidad, incluida la interseccional,  y la provisión de ajustes razonables en todos sus ámbitos competenciales</w:t>
      </w:r>
      <w:r w:rsidR="00FB6A88">
        <w:t>.</w:t>
      </w:r>
    </w:p>
    <w:p w:rsidR="00FB6A88" w:rsidRDefault="00CF64B0" w:rsidP="0061628D">
      <w:pPr>
        <w:pStyle w:val="Prrafodelista"/>
        <w:numPr>
          <w:ilvl w:val="1"/>
          <w:numId w:val="2"/>
        </w:numPr>
        <w:jc w:val="both"/>
      </w:pPr>
      <w:r w:rsidRPr="00CF64B0">
        <w:rPr>
          <w:u w:val="single"/>
        </w:rPr>
        <w:t>En el ámbito de mujeres y niñas</w:t>
      </w:r>
      <w:r>
        <w:t>: r</w:t>
      </w:r>
      <w:r w:rsidR="00FB6A88">
        <w:t>ecomienda la inclusión transversal de las mujeres y niñas con discapacidad en la próxima Estrategia de Igualdad de Género así como en las Estrategias de Discapacidad</w:t>
      </w:r>
      <w:r>
        <w:t>.</w:t>
      </w:r>
    </w:p>
    <w:p w:rsidR="00CF64B0" w:rsidRDefault="00CF64B0" w:rsidP="0061628D">
      <w:pPr>
        <w:pStyle w:val="Prrafodelista"/>
        <w:numPr>
          <w:ilvl w:val="1"/>
          <w:numId w:val="2"/>
        </w:numPr>
        <w:jc w:val="both"/>
      </w:pPr>
      <w:r w:rsidRPr="00CF64B0">
        <w:rPr>
          <w:u w:val="single"/>
        </w:rPr>
        <w:t>En el ámbito de la infancia</w:t>
      </w:r>
      <w:r>
        <w:rPr>
          <w:u w:val="single"/>
        </w:rPr>
        <w:t>:</w:t>
      </w:r>
      <w:r w:rsidRPr="00CF64B0">
        <w:t xml:space="preserve"> recomienda promover la desinstitucionalización y promover su inclusión social y el acceso a la educación in</w:t>
      </w:r>
      <w:r w:rsidR="00213C9E">
        <w:t>clusiva y de calidad, así como que sean consultados en los ámbitos que les afecten.</w:t>
      </w:r>
    </w:p>
    <w:p w:rsidR="00450519" w:rsidRDefault="00556DDF" w:rsidP="0061628D">
      <w:pPr>
        <w:pStyle w:val="Prrafodelista"/>
        <w:numPr>
          <w:ilvl w:val="1"/>
          <w:numId w:val="2"/>
        </w:numPr>
        <w:jc w:val="both"/>
      </w:pPr>
      <w:r w:rsidRPr="00772E10">
        <w:rPr>
          <w:u w:val="single"/>
        </w:rPr>
        <w:t>En el ámbito de la toma de conciencia</w:t>
      </w:r>
      <w:r>
        <w:t xml:space="preserve">: recomienda </w:t>
      </w:r>
      <w:r w:rsidR="00772E10" w:rsidRPr="00772E10">
        <w:t>el desarrollo de una campaña de toma de conciencia sobre la Convención que sea accesible y que combata los prejuicios contra las personas con discapacidad, incluyendo a mujeres y niñas, personas con enfermedad mental y discapacidad intelectual.</w:t>
      </w:r>
    </w:p>
    <w:p w:rsidR="003367A9" w:rsidRDefault="003367A9" w:rsidP="0061628D">
      <w:pPr>
        <w:pStyle w:val="Prrafodelista"/>
        <w:numPr>
          <w:ilvl w:val="1"/>
          <w:numId w:val="2"/>
        </w:numPr>
        <w:jc w:val="both"/>
      </w:pPr>
      <w:r>
        <w:rPr>
          <w:u w:val="single"/>
        </w:rPr>
        <w:t>En el ámbito de la accesibilidad</w:t>
      </w:r>
      <w:r w:rsidRPr="003367A9">
        <w:t>:</w:t>
      </w:r>
      <w:r>
        <w:t xml:space="preserve"> </w:t>
      </w:r>
      <w:r w:rsidRPr="003367A9">
        <w:t>recomienda la adopción de normativa europea en materia de accesibilidad alineada con la Convención y con la observación general nº2 (2014) relativa a la accesibilidad que incluya mecanismos de aplicación y quejas</w:t>
      </w:r>
      <w:r>
        <w:t>.</w:t>
      </w:r>
    </w:p>
    <w:p w:rsidR="00925586" w:rsidRDefault="00925586" w:rsidP="0061628D">
      <w:pPr>
        <w:pStyle w:val="Prrafodelista"/>
        <w:numPr>
          <w:ilvl w:val="1"/>
          <w:numId w:val="2"/>
        </w:numPr>
        <w:jc w:val="both"/>
      </w:pPr>
      <w:r>
        <w:rPr>
          <w:u w:val="single"/>
        </w:rPr>
        <w:lastRenderedPageBreak/>
        <w:t>En el ámbito de las situaciones de riesgo</w:t>
      </w:r>
      <w:r w:rsidRPr="00925586">
        <w:t>:</w:t>
      </w:r>
      <w:r>
        <w:t xml:space="preserve"> recomienda que el 112</w:t>
      </w:r>
      <w:r w:rsidR="0089102B">
        <w:t xml:space="preserve"> sea accesible en toda la Unión, así como la inclusión transversal de la discapacidad en la prevención de situacione</w:t>
      </w:r>
      <w:r w:rsidR="00D3323C">
        <w:t>s de riesgo y ayuda humanitaria, y que transversalice la discapacidad en los ámbitos de inmigración y asilo.</w:t>
      </w:r>
    </w:p>
    <w:p w:rsidR="00D3323C" w:rsidRDefault="004E777D" w:rsidP="0061628D">
      <w:pPr>
        <w:pStyle w:val="Prrafodelista"/>
        <w:numPr>
          <w:ilvl w:val="1"/>
          <w:numId w:val="2"/>
        </w:numPr>
        <w:jc w:val="both"/>
      </w:pPr>
      <w:r w:rsidRPr="005078F0">
        <w:rPr>
          <w:u w:val="single"/>
        </w:rPr>
        <w:t>En el ámbito de la capacidad</w:t>
      </w:r>
      <w:r w:rsidRPr="00DE5D42">
        <w:rPr>
          <w:u w:val="single"/>
        </w:rPr>
        <w:t xml:space="preserve"> jurídica</w:t>
      </w:r>
      <w:r>
        <w:t>: recomienda la adopción de medidas que garanticen a las personas con discapacidad privadas de su capacidad jurídica que puedan ejercer todos los derechos reconocidos en la legislación europea en línea con la Convención y la observación general nº 1, también recomienda que intensifique esfuerzos en la recogida de datos y el intercambio de buenas prácticas en este ámbito</w:t>
      </w:r>
      <w:r w:rsidR="00DE5D42">
        <w:t>.</w:t>
      </w:r>
    </w:p>
    <w:p w:rsidR="00925586" w:rsidRDefault="005078F0" w:rsidP="0061628D">
      <w:pPr>
        <w:pStyle w:val="Prrafodelista"/>
        <w:numPr>
          <w:ilvl w:val="1"/>
          <w:numId w:val="2"/>
        </w:numPr>
        <w:jc w:val="both"/>
      </w:pPr>
      <w:r w:rsidRPr="005078F0">
        <w:rPr>
          <w:u w:val="single"/>
        </w:rPr>
        <w:t>En el ámbito del acceso a la Justicia</w:t>
      </w:r>
      <w:r>
        <w:t xml:space="preserve">: </w:t>
      </w:r>
      <w:r w:rsidRPr="005078F0">
        <w:t xml:space="preserve">recomienda la adopción de medidas para el pleno acceso a la justicia mediante la provisión de adaptaciones del proceso y la </w:t>
      </w:r>
      <w:r w:rsidR="00F05B38" w:rsidRPr="005078F0">
        <w:t>formación</w:t>
      </w:r>
      <w:r w:rsidRPr="005078F0">
        <w:t xml:space="preserve"> del personal de la administración de Justicia.</w:t>
      </w:r>
    </w:p>
    <w:p w:rsidR="00B62ECF" w:rsidRDefault="00EF57D3" w:rsidP="0061628D">
      <w:pPr>
        <w:pStyle w:val="Prrafodelista"/>
        <w:numPr>
          <w:ilvl w:val="1"/>
          <w:numId w:val="2"/>
        </w:numPr>
        <w:jc w:val="both"/>
      </w:pPr>
      <w:r w:rsidRPr="001614A3">
        <w:rPr>
          <w:u w:val="single"/>
        </w:rPr>
        <w:t>En el ámbito de la libertad y seguridad</w:t>
      </w:r>
      <w:r>
        <w:t>:</w:t>
      </w:r>
      <w:r w:rsidR="001614A3">
        <w:t xml:space="preserve"> </w:t>
      </w:r>
      <w:r w:rsidR="001614A3" w:rsidRPr="001614A3">
        <w:t>recomienda la adopción de medidas que aseguren la libertad y seguridad de todas las personas con discapacidad en línea con la Convención y la Guía del Comité CDPD en relación al art. 14.</w:t>
      </w:r>
    </w:p>
    <w:p w:rsidR="00B62ECF" w:rsidRPr="00512129" w:rsidRDefault="00B62ECF" w:rsidP="0061628D">
      <w:pPr>
        <w:pStyle w:val="Prrafodelista"/>
        <w:numPr>
          <w:ilvl w:val="1"/>
          <w:numId w:val="2"/>
        </w:numPr>
        <w:jc w:val="both"/>
      </w:pPr>
      <w:r w:rsidRPr="00512129">
        <w:rPr>
          <w:u w:val="single"/>
        </w:rPr>
        <w:t xml:space="preserve">En el ámbito de </w:t>
      </w:r>
      <w:r w:rsidR="0068650D" w:rsidRPr="00512129">
        <w:rPr>
          <w:u w:val="single"/>
        </w:rPr>
        <w:t>la prohibición de tortura u otros tratos o penas degradantes</w:t>
      </w:r>
      <w:r w:rsidRPr="00512129">
        <w:t xml:space="preserve">: recomienda la revisión de las guías éticas de investigación en esta materia, y </w:t>
      </w:r>
      <w:r w:rsidR="001A04BF">
        <w:t xml:space="preserve">que </w:t>
      </w:r>
      <w:r w:rsidRPr="00512129">
        <w:t xml:space="preserve">especialmente de ejemplo mediante el desarrollo de consentimientos informados accesibles y de fácil lectura, y que prevenga la toma de decisiones por sustitución en </w:t>
      </w:r>
      <w:r w:rsidR="00A84AE0" w:rsidRPr="00512129">
        <w:t>esta</w:t>
      </w:r>
      <w:r w:rsidRPr="00512129">
        <w:t xml:space="preserve"> área.</w:t>
      </w:r>
    </w:p>
    <w:p w:rsidR="0068650D" w:rsidRDefault="00A84AE0" w:rsidP="0061628D">
      <w:pPr>
        <w:pStyle w:val="Prrafodelista"/>
        <w:numPr>
          <w:ilvl w:val="1"/>
          <w:numId w:val="2"/>
        </w:numPr>
        <w:jc w:val="both"/>
      </w:pPr>
      <w:r w:rsidRPr="00512129">
        <w:rPr>
          <w:u w:val="single"/>
        </w:rPr>
        <w:t>En el ámbito de la libertad y prevención del abuso</w:t>
      </w:r>
      <w:r w:rsidRPr="00512129">
        <w:t xml:space="preserve">: </w:t>
      </w:r>
      <w:r w:rsidR="008806C5" w:rsidRPr="00512129">
        <w:t>recomienda la adopción de medidas para transversalizar la discapacidad en toda la normativa, políticas y estrategias para combatir</w:t>
      </w:r>
      <w:r w:rsidR="008806C5">
        <w:t xml:space="preserve"> la violencia y el abuso y proveer de protección efectiva</w:t>
      </w:r>
      <w:r w:rsidR="003D31BD">
        <w:t>.</w:t>
      </w:r>
    </w:p>
    <w:p w:rsidR="003D31BD" w:rsidRDefault="0071778D" w:rsidP="0061628D">
      <w:pPr>
        <w:pStyle w:val="Prrafodelista"/>
        <w:numPr>
          <w:ilvl w:val="1"/>
          <w:numId w:val="2"/>
        </w:numPr>
        <w:jc w:val="both"/>
      </w:pPr>
      <w:r w:rsidRPr="0071778D">
        <w:rPr>
          <w:u w:val="single"/>
        </w:rPr>
        <w:t>En el ámbito de la integridad personal</w:t>
      </w:r>
      <w:r w:rsidRPr="0071778D">
        <w:t xml:space="preserve">: recomienda la adopción de todas las medidas posibles para asegurar </w:t>
      </w:r>
      <w:r w:rsidRPr="0084710B">
        <w:t>la libertad en el consentimiento informado a través de los sistemas de apoyo en la toma de decisiones.</w:t>
      </w:r>
    </w:p>
    <w:p w:rsidR="0071778D" w:rsidRDefault="0071778D" w:rsidP="0061628D">
      <w:pPr>
        <w:pStyle w:val="Prrafodelista"/>
        <w:numPr>
          <w:ilvl w:val="1"/>
          <w:numId w:val="2"/>
        </w:numPr>
        <w:jc w:val="both"/>
      </w:pPr>
      <w:r>
        <w:rPr>
          <w:u w:val="single"/>
        </w:rPr>
        <w:t xml:space="preserve">En el ámbito de </w:t>
      </w:r>
      <w:r w:rsidR="006655BB">
        <w:rPr>
          <w:u w:val="single"/>
        </w:rPr>
        <w:t xml:space="preserve">la libertad de movimiento: </w:t>
      </w:r>
      <w:r w:rsidR="006655BB" w:rsidRPr="006655BB">
        <w:t>recomienda que se adopten medidas inmediatas para asegurar la igualdad en el ejercicio de este derecho, incluyendo la portabilidad de los beneficios sociales de forma coordinada entre los miembros.</w:t>
      </w:r>
    </w:p>
    <w:p w:rsidR="00AB3076" w:rsidRDefault="00731729" w:rsidP="0061628D">
      <w:pPr>
        <w:pStyle w:val="Prrafodelista"/>
        <w:numPr>
          <w:ilvl w:val="1"/>
          <w:numId w:val="2"/>
        </w:numPr>
        <w:jc w:val="both"/>
      </w:pPr>
      <w:r w:rsidRPr="00731729">
        <w:rPr>
          <w:u w:val="single"/>
        </w:rPr>
        <w:t>En el ámbito de la vida independiente y a ser incluido en comunidad</w:t>
      </w:r>
      <w:r w:rsidRPr="00731729">
        <w:t xml:space="preserve">: recomienda que promueva la desinstitucionalización y que vele porque la </w:t>
      </w:r>
      <w:r w:rsidR="000006A6" w:rsidRPr="00731729">
        <w:t>aplicación</w:t>
      </w:r>
      <w:r w:rsidRPr="00731729">
        <w:t xml:space="preserve"> de los Fondos E</w:t>
      </w:r>
      <w:r w:rsidR="000006A6">
        <w:t>structurales</w:t>
      </w:r>
      <w:r w:rsidRPr="00731729">
        <w:t xml:space="preserve"> se destinen al desarrollo de servicios de apoyo para personas con discapacidad en su entorno</w:t>
      </w:r>
      <w:r w:rsidR="000006A6">
        <w:t>.</w:t>
      </w:r>
    </w:p>
    <w:p w:rsidR="00312E5B" w:rsidRDefault="007E16F7" w:rsidP="0061628D">
      <w:pPr>
        <w:pStyle w:val="Prrafodelista"/>
        <w:numPr>
          <w:ilvl w:val="1"/>
          <w:numId w:val="2"/>
        </w:numPr>
        <w:jc w:val="both"/>
      </w:pPr>
      <w:r w:rsidRPr="007E16F7">
        <w:rPr>
          <w:u w:val="single"/>
        </w:rPr>
        <w:t>En el ámbito de la movilidad personal</w:t>
      </w:r>
      <w:r w:rsidRPr="007E16F7">
        <w:t>: recomienda reforzar los derechos de los pasajeros y armonizar el trabajo de las instituciones que velan por su cumplimiento</w:t>
      </w:r>
      <w:r w:rsidR="001A04BF">
        <w:t>,</w:t>
      </w:r>
      <w:r w:rsidRPr="007E16F7">
        <w:t xml:space="preserve"> para así asegurar la igualdad efectiva de los derechos de los pasajeros con discapacidad en toda la Unión Europea.</w:t>
      </w:r>
    </w:p>
    <w:p w:rsidR="00C2416B" w:rsidRDefault="00312E5B" w:rsidP="0061628D">
      <w:pPr>
        <w:pStyle w:val="Prrafodelista"/>
        <w:numPr>
          <w:ilvl w:val="1"/>
          <w:numId w:val="2"/>
        </w:numPr>
        <w:jc w:val="both"/>
      </w:pPr>
      <w:r w:rsidRPr="00312E5B">
        <w:rPr>
          <w:u w:val="single"/>
        </w:rPr>
        <w:t>En el ámbito de la libertad de expresió</w:t>
      </w:r>
      <w:r>
        <w:rPr>
          <w:u w:val="single"/>
        </w:rPr>
        <w:t>n</w:t>
      </w:r>
      <w:r w:rsidRPr="00312E5B">
        <w:rPr>
          <w:u w:val="single"/>
        </w:rPr>
        <w:t xml:space="preserve"> y opinión y acceso a la información</w:t>
      </w:r>
      <w:r>
        <w:t>: se recomienda la adopción de medidas para implementar su legislación en materia de acceso a la información y comunicación para facilitar el acceso en los diferentes sistemas y formatos adaptados a las diferentes discapacidades.</w:t>
      </w:r>
    </w:p>
    <w:p w:rsidR="00312E5B" w:rsidRDefault="00C2416B" w:rsidP="0061628D">
      <w:pPr>
        <w:pStyle w:val="Prrafodelista"/>
        <w:numPr>
          <w:ilvl w:val="1"/>
          <w:numId w:val="2"/>
        </w:numPr>
        <w:jc w:val="both"/>
      </w:pPr>
      <w:r w:rsidRPr="00C2416B">
        <w:rPr>
          <w:u w:val="single"/>
        </w:rPr>
        <w:t>En el ámbito de la familia</w:t>
      </w:r>
      <w:r>
        <w:t xml:space="preserve">: recomienda que sus políticas económicas y sociales promuevan el apoyo a las familias con personas con discapacidad y se asegure el </w:t>
      </w:r>
      <w:r>
        <w:lastRenderedPageBreak/>
        <w:t>derecho de las niñas y los niños con discapacidad a vivir con sus familias, así mismo también recomienda que se incluya a las familias y personas con discapacidad en la hoja de ruta sobre los retos de la conciliación familiar.</w:t>
      </w:r>
    </w:p>
    <w:p w:rsidR="00415B5E" w:rsidRDefault="00A65504" w:rsidP="0061628D">
      <w:pPr>
        <w:pStyle w:val="Prrafodelista"/>
        <w:numPr>
          <w:ilvl w:val="1"/>
          <w:numId w:val="2"/>
        </w:numPr>
        <w:jc w:val="both"/>
      </w:pPr>
      <w:r w:rsidRPr="00A65504">
        <w:rPr>
          <w:u w:val="single"/>
        </w:rPr>
        <w:t>En el ámbito de la educación</w:t>
      </w:r>
      <w:r w:rsidRPr="00A65504">
        <w:t>: recomienda que evalúe cuál es la situación en el ám</w:t>
      </w:r>
      <w:r>
        <w:t>b</w:t>
      </w:r>
      <w:r w:rsidRPr="00A65504">
        <w:t>ito de la educación inclusiva de calidad, así mismo recomienda que tome medidas para facilitar el acceso a la educación inclusiva de calidad en línea con la Convención, y que incorpore indicadore</w:t>
      </w:r>
      <w:r>
        <w:t>s</w:t>
      </w:r>
      <w:r w:rsidRPr="00A65504">
        <w:t xml:space="preserve"> específicos de discapacidad en la Estrategia Europea 2020</w:t>
      </w:r>
      <w:r w:rsidR="00661021">
        <w:t>.</w:t>
      </w:r>
    </w:p>
    <w:p w:rsidR="00661021" w:rsidRDefault="00661021" w:rsidP="0061628D">
      <w:pPr>
        <w:pStyle w:val="Prrafodelista"/>
        <w:numPr>
          <w:ilvl w:val="1"/>
          <w:numId w:val="2"/>
        </w:numPr>
        <w:jc w:val="both"/>
      </w:pPr>
      <w:r w:rsidRPr="00661021">
        <w:rPr>
          <w:u w:val="single"/>
        </w:rPr>
        <w:t>En el ámbito de la salud</w:t>
      </w:r>
      <w:r w:rsidRPr="00661021">
        <w:t>: recomienda que se prohíba de forma expresa la prohibición de discriminación en este ámbito y evalúe en qué ámbitos la Directiva sobre salud deja vacíos en el acceso a las personas con discapacidad.</w:t>
      </w:r>
    </w:p>
    <w:p w:rsidR="00661021" w:rsidRDefault="0024309D" w:rsidP="0061628D">
      <w:pPr>
        <w:pStyle w:val="Prrafodelista"/>
        <w:numPr>
          <w:ilvl w:val="1"/>
          <w:numId w:val="2"/>
        </w:numPr>
        <w:jc w:val="both"/>
      </w:pPr>
      <w:r w:rsidRPr="0024309D">
        <w:rPr>
          <w:u w:val="single"/>
        </w:rPr>
        <w:t>En el ámbito del empleo</w:t>
      </w:r>
      <w:r w:rsidRPr="0024309D">
        <w:t>: recomienda que se adopten medidas efectivas para el empleo de las personas con discapacidad y para incrementar su tasa de empleo en el mercado abierto, incluyendo capacitación a los Estados Miembros en ajustes razonables y accesibilidad en el ámbito del empleo.</w:t>
      </w:r>
    </w:p>
    <w:p w:rsidR="00EC5F55" w:rsidRDefault="00671BE4" w:rsidP="0061628D">
      <w:pPr>
        <w:pStyle w:val="Prrafodelista"/>
        <w:numPr>
          <w:ilvl w:val="1"/>
          <w:numId w:val="2"/>
        </w:numPr>
        <w:jc w:val="both"/>
      </w:pPr>
      <w:r w:rsidRPr="00671BE4">
        <w:rPr>
          <w:u w:val="single"/>
        </w:rPr>
        <w:t>En el ámbito de la protección social:</w:t>
      </w:r>
      <w:r w:rsidRPr="00671BE4">
        <w:t xml:space="preserve"> recomienda la adopción de medidas urgentes en cooperación con los Estados y las organizaciones de personas con discapacidad para evitar los efectos regresivos de la crisis a través de las medidas de austeridad.</w:t>
      </w:r>
    </w:p>
    <w:p w:rsidR="00EC5F55" w:rsidRDefault="00EC5F55" w:rsidP="0061628D">
      <w:pPr>
        <w:pStyle w:val="Prrafodelista"/>
        <w:numPr>
          <w:ilvl w:val="1"/>
          <w:numId w:val="2"/>
        </w:numPr>
        <w:jc w:val="both"/>
      </w:pPr>
      <w:r w:rsidRPr="00EC5F55">
        <w:rPr>
          <w:u w:val="single"/>
        </w:rPr>
        <w:t>En el ámbito de la participación política</w:t>
      </w:r>
      <w:r>
        <w:t>: recomienda la adopción de medidas  en cooperación con los Estados y las organizaciones de personas con discapacidad para permitir que todas las personas con discapacidad puedan disfrutar de su derecho a votar y a ser elegido, y a contar con medidas de accesibilidad.</w:t>
      </w:r>
    </w:p>
    <w:p w:rsidR="00141588" w:rsidRDefault="00141588" w:rsidP="0061628D">
      <w:pPr>
        <w:pStyle w:val="Prrafodelista"/>
        <w:numPr>
          <w:ilvl w:val="1"/>
          <w:numId w:val="2"/>
        </w:numPr>
        <w:jc w:val="both"/>
      </w:pPr>
      <w:r w:rsidRPr="00AE33E0">
        <w:rPr>
          <w:u w:val="single"/>
        </w:rPr>
        <w:t>En el ámbito de la participación en la vida cultural, ocio y deporte</w:t>
      </w:r>
      <w:r w:rsidRPr="00141588">
        <w:t xml:space="preserve">: recomienda que ratifique e implemente el Tratado de </w:t>
      </w:r>
      <w:r w:rsidR="0066015A" w:rsidRPr="00141588">
        <w:t>Marrakech</w:t>
      </w:r>
      <w:r>
        <w:t>.</w:t>
      </w:r>
    </w:p>
    <w:p w:rsidR="0061628D" w:rsidRDefault="0061628D" w:rsidP="0061628D">
      <w:pPr>
        <w:pStyle w:val="Prrafodelista"/>
        <w:ind w:left="1080"/>
        <w:jc w:val="both"/>
      </w:pPr>
    </w:p>
    <w:p w:rsidR="00F50FE8" w:rsidRPr="00AE33E0" w:rsidRDefault="00AE33E0" w:rsidP="0061628D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Obligaciones Específicas (art. 31-37)</w:t>
      </w:r>
    </w:p>
    <w:p w:rsidR="00F50FE8" w:rsidRDefault="00F50FE8" w:rsidP="0061628D">
      <w:pPr>
        <w:pStyle w:val="Prrafodelista"/>
        <w:numPr>
          <w:ilvl w:val="1"/>
          <w:numId w:val="2"/>
        </w:numPr>
        <w:jc w:val="both"/>
      </w:pPr>
      <w:r w:rsidRPr="00AE33E0">
        <w:rPr>
          <w:u w:val="single"/>
        </w:rPr>
        <w:t>En el ámbito de la recolección de datos</w:t>
      </w:r>
      <w:r>
        <w:t xml:space="preserve">: recomienda que desarrolle indicadores de derechos humanos en cooperación con las organizaciones de personas con discapacidad </w:t>
      </w:r>
      <w:r w:rsidR="0066015A">
        <w:t>,</w:t>
      </w:r>
      <w:r>
        <w:t xml:space="preserve">y una sistemática de recolección de datos comparable, comprensible y que incluya la dimensión de </w:t>
      </w:r>
      <w:r w:rsidR="00AE33E0">
        <w:t>género</w:t>
      </w:r>
      <w:r>
        <w:t>, edad, población urbana y rural y tipo de discapacidad</w:t>
      </w:r>
      <w:r w:rsidR="00AE33E0">
        <w:t>.</w:t>
      </w:r>
    </w:p>
    <w:p w:rsidR="00F50FE8" w:rsidRDefault="00F50FE8" w:rsidP="0061628D">
      <w:pPr>
        <w:pStyle w:val="Prrafodelista"/>
        <w:numPr>
          <w:ilvl w:val="1"/>
          <w:numId w:val="2"/>
        </w:numPr>
        <w:jc w:val="both"/>
      </w:pPr>
      <w:r w:rsidRPr="00AE33E0">
        <w:rPr>
          <w:u w:val="single"/>
        </w:rPr>
        <w:t>En el ámbito de la cooperación internacional</w:t>
      </w:r>
      <w:r>
        <w:t>: recomienda que se tranversalice la discapacidad en todas las políticas de cooperación internacionales de la UE.</w:t>
      </w:r>
    </w:p>
    <w:p w:rsidR="00F50FE8" w:rsidRDefault="00F50FE8" w:rsidP="0061628D">
      <w:pPr>
        <w:pStyle w:val="Prrafodelista"/>
        <w:numPr>
          <w:ilvl w:val="1"/>
          <w:numId w:val="2"/>
        </w:numPr>
        <w:jc w:val="both"/>
      </w:pPr>
      <w:r w:rsidRPr="00AE33E0">
        <w:rPr>
          <w:u w:val="single"/>
        </w:rPr>
        <w:t>En el ámbito de la implementación y seguimiento</w:t>
      </w:r>
      <w:r>
        <w:t>: recomienda que designe una entidad para el seguimiento independiente por cuanto la Comisión no puede serlo.</w:t>
      </w:r>
    </w:p>
    <w:p w:rsidR="008B7D4D" w:rsidRDefault="008B7D4D" w:rsidP="008B7D4D">
      <w:pPr>
        <w:ind w:left="720"/>
        <w:jc w:val="right"/>
      </w:pPr>
    </w:p>
    <w:p w:rsidR="008B7D4D" w:rsidRPr="006655BB" w:rsidRDefault="008B7D4D" w:rsidP="008B7D4D">
      <w:pPr>
        <w:ind w:left="720"/>
        <w:jc w:val="right"/>
      </w:pPr>
      <w:r>
        <w:t>Madrid 11 de septiembre de 2015</w:t>
      </w:r>
    </w:p>
    <w:p w:rsidR="00625FB1" w:rsidRPr="00582065" w:rsidRDefault="00625FB1" w:rsidP="0061628D">
      <w:pPr>
        <w:jc w:val="both"/>
      </w:pPr>
    </w:p>
    <w:sectPr w:rsidR="00625FB1" w:rsidRPr="00582065" w:rsidSect="0029389C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6F" w:rsidRDefault="00F7156F" w:rsidP="00F7156F">
      <w:pPr>
        <w:spacing w:after="0" w:line="240" w:lineRule="auto"/>
      </w:pPr>
      <w:r>
        <w:separator/>
      </w:r>
    </w:p>
  </w:endnote>
  <w:endnote w:type="continuationSeparator" w:id="0">
    <w:p w:rsidR="00F7156F" w:rsidRDefault="00F7156F" w:rsidP="00F7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08914"/>
      <w:docPartObj>
        <w:docPartGallery w:val="Page Numbers (Bottom of Page)"/>
        <w:docPartUnique/>
      </w:docPartObj>
    </w:sdtPr>
    <w:sdtEndPr/>
    <w:sdtContent>
      <w:p w:rsidR="00F7156F" w:rsidRDefault="00F7156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93B">
          <w:rPr>
            <w:noProof/>
          </w:rPr>
          <w:t>1</w:t>
        </w:r>
        <w:r>
          <w:fldChar w:fldCharType="end"/>
        </w:r>
      </w:p>
    </w:sdtContent>
  </w:sdt>
  <w:p w:rsidR="00F7156F" w:rsidRDefault="00F715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6F" w:rsidRDefault="00F7156F" w:rsidP="00F7156F">
      <w:pPr>
        <w:spacing w:after="0" w:line="240" w:lineRule="auto"/>
      </w:pPr>
      <w:r>
        <w:separator/>
      </w:r>
    </w:p>
  </w:footnote>
  <w:footnote w:type="continuationSeparator" w:id="0">
    <w:p w:rsidR="00F7156F" w:rsidRDefault="00F7156F" w:rsidP="00F7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B25"/>
    <w:multiLevelType w:val="multilevel"/>
    <w:tmpl w:val="7C9CE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46D11599"/>
    <w:multiLevelType w:val="hybridMultilevel"/>
    <w:tmpl w:val="172A00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A6"/>
    <w:rsid w:val="000006A6"/>
    <w:rsid w:val="0009111D"/>
    <w:rsid w:val="00141588"/>
    <w:rsid w:val="001614A3"/>
    <w:rsid w:val="00161ADF"/>
    <w:rsid w:val="001811B9"/>
    <w:rsid w:val="001A04BF"/>
    <w:rsid w:val="001E452F"/>
    <w:rsid w:val="001F7E66"/>
    <w:rsid w:val="00213C9E"/>
    <w:rsid w:val="0021421E"/>
    <w:rsid w:val="002277B6"/>
    <w:rsid w:val="0024309D"/>
    <w:rsid w:val="0026624C"/>
    <w:rsid w:val="00285958"/>
    <w:rsid w:val="0029389C"/>
    <w:rsid w:val="00312E5B"/>
    <w:rsid w:val="003367A9"/>
    <w:rsid w:val="003B493B"/>
    <w:rsid w:val="003D31BD"/>
    <w:rsid w:val="003D5BB4"/>
    <w:rsid w:val="003E5256"/>
    <w:rsid w:val="003F46DB"/>
    <w:rsid w:val="00415B5E"/>
    <w:rsid w:val="004215F7"/>
    <w:rsid w:val="004357F4"/>
    <w:rsid w:val="00450519"/>
    <w:rsid w:val="004939A6"/>
    <w:rsid w:val="004A2599"/>
    <w:rsid w:val="004E777D"/>
    <w:rsid w:val="005078F0"/>
    <w:rsid w:val="00512129"/>
    <w:rsid w:val="00514A21"/>
    <w:rsid w:val="00520833"/>
    <w:rsid w:val="00556DDF"/>
    <w:rsid w:val="00582065"/>
    <w:rsid w:val="0061628D"/>
    <w:rsid w:val="00625FB1"/>
    <w:rsid w:val="0066015A"/>
    <w:rsid w:val="00661021"/>
    <w:rsid w:val="006655BB"/>
    <w:rsid w:val="00671BE4"/>
    <w:rsid w:val="0068650D"/>
    <w:rsid w:val="0071778D"/>
    <w:rsid w:val="00731729"/>
    <w:rsid w:val="00747C36"/>
    <w:rsid w:val="00772E10"/>
    <w:rsid w:val="007E16F7"/>
    <w:rsid w:val="0084710B"/>
    <w:rsid w:val="00874E6C"/>
    <w:rsid w:val="008806C5"/>
    <w:rsid w:val="0089102B"/>
    <w:rsid w:val="008B7D4D"/>
    <w:rsid w:val="00925586"/>
    <w:rsid w:val="0093592B"/>
    <w:rsid w:val="00A65504"/>
    <w:rsid w:val="00A84AE0"/>
    <w:rsid w:val="00AB3076"/>
    <w:rsid w:val="00AE33E0"/>
    <w:rsid w:val="00B62ECF"/>
    <w:rsid w:val="00C2416B"/>
    <w:rsid w:val="00C70291"/>
    <w:rsid w:val="00C76C1C"/>
    <w:rsid w:val="00CF64B0"/>
    <w:rsid w:val="00D3323C"/>
    <w:rsid w:val="00DE5D42"/>
    <w:rsid w:val="00EC5F55"/>
    <w:rsid w:val="00EF57D3"/>
    <w:rsid w:val="00F05B38"/>
    <w:rsid w:val="00F50FE8"/>
    <w:rsid w:val="00F7156F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E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1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56F"/>
  </w:style>
  <w:style w:type="paragraph" w:styleId="Piedepgina">
    <w:name w:val="footer"/>
    <w:basedOn w:val="Normal"/>
    <w:link w:val="PiedepginaCar"/>
    <w:uiPriority w:val="99"/>
    <w:unhideWhenUsed/>
    <w:rsid w:val="00F71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E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1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56F"/>
  </w:style>
  <w:style w:type="paragraph" w:styleId="Piedepgina">
    <w:name w:val="footer"/>
    <w:basedOn w:val="Normal"/>
    <w:link w:val="PiedepginaCar"/>
    <w:uiPriority w:val="99"/>
    <w:unhideWhenUsed/>
    <w:rsid w:val="00F71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D2D0C83-0465-4233-8091-7742DD4AA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F6232-D572-400D-8622-1EF7D7231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0000FB-663B-4D5A-9B0B-267DB33067EA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Abella Jover, Blanca (Servimedia.net)</cp:lastModifiedBy>
  <cp:revision>2</cp:revision>
  <dcterms:created xsi:type="dcterms:W3CDTF">2015-09-15T12:31:00Z</dcterms:created>
  <dcterms:modified xsi:type="dcterms:W3CDTF">2015-09-15T12:31:00Z</dcterms:modified>
</cp:coreProperties>
</file>