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728" w:rsidRPr="00D71446" w:rsidRDefault="00412834" w:rsidP="008A49F9">
      <w:pPr>
        <w:spacing w:before="720"/>
        <w:ind w:left="-426" w:right="1134"/>
        <w:jc w:val="left"/>
        <w:rPr>
          <w:rFonts w:asciiTheme="majorHAnsi" w:eastAsia="Calibri" w:hAnsiTheme="majorHAnsi" w:cs="Arial"/>
          <w:b/>
          <w:bCs/>
          <w:sz w:val="56"/>
          <w:szCs w:val="56"/>
          <w:lang w:eastAsia="en-US"/>
        </w:rPr>
      </w:pPr>
      <w:bookmarkStart w:id="0" w:name="_GoBack"/>
      <w:bookmarkEnd w:id="0"/>
      <w:r w:rsidRPr="00412834">
        <w:rPr>
          <w:noProof/>
        </w:rPr>
        <w:drawing>
          <wp:anchor distT="0" distB="0" distL="114300" distR="114300" simplePos="0" relativeHeight="251727872" behindDoc="0" locked="0" layoutInCell="1" allowOverlap="1">
            <wp:simplePos x="0" y="0"/>
            <wp:positionH relativeFrom="column">
              <wp:posOffset>-328930</wp:posOffset>
            </wp:positionH>
            <wp:positionV relativeFrom="paragraph">
              <wp:posOffset>-193675</wp:posOffset>
            </wp:positionV>
            <wp:extent cx="6078220" cy="1052195"/>
            <wp:effectExtent l="0" t="0" r="0" b="0"/>
            <wp:wrapSquare wrapText="bothSides"/>
            <wp:docPr id="6" name="Imagen 1" descr="Logo Fundación ONCE&#10;Logo Red FEIE+D 14-20&#10;Logo CERMI&#10;Logo Fondo Social Europeo &quot;El FSE invierte en futur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078220" cy="1052195"/>
                    </a:xfrm>
                    <a:prstGeom prst="rect">
                      <a:avLst/>
                    </a:prstGeom>
                    <a:noFill/>
                    <a:ln w="9525">
                      <a:noFill/>
                      <a:miter lim="800000"/>
                      <a:headEnd/>
                      <a:tailEnd/>
                    </a:ln>
                  </pic:spPr>
                </pic:pic>
              </a:graphicData>
            </a:graphic>
          </wp:anchor>
        </w:drawing>
      </w:r>
      <w:r w:rsidR="00C92966">
        <w:rPr>
          <w:noProof/>
        </w:rPr>
        <mc:AlternateContent>
          <mc:Choice Requires="wps">
            <w:drawing>
              <wp:anchor distT="0" distB="0" distL="114300" distR="114300" simplePos="0" relativeHeight="251666432" behindDoc="0" locked="0" layoutInCell="1" allowOverlap="1">
                <wp:simplePos x="0" y="0"/>
                <wp:positionH relativeFrom="column">
                  <wp:posOffset>-688975</wp:posOffset>
                </wp:positionH>
                <wp:positionV relativeFrom="paragraph">
                  <wp:posOffset>-394335</wp:posOffset>
                </wp:positionV>
                <wp:extent cx="6804660" cy="1411605"/>
                <wp:effectExtent l="6350" t="5715" r="8890"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660" cy="1411605"/>
                        </a:xfrm>
                        <a:prstGeom prst="rect">
                          <a:avLst/>
                        </a:prstGeom>
                        <a:noFill/>
                        <a:ln w="9525">
                          <a:solidFill>
                            <a:schemeClr val="accent1">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25pt;margin-top:-31.05pt;width:535.8pt;height:11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" filled="f" strokecolor="#95b3d7 [1940]"/>
            </w:pict>
          </mc:Fallback>
        </mc:AlternateContent>
      </w:r>
      <w:r w:rsidR="000B1728" w:rsidRPr="00D71446">
        <w:rPr>
          <w:rFonts w:asciiTheme="majorHAnsi" w:eastAsia="Calibri" w:hAnsiTheme="majorHAnsi" w:cs="Arial"/>
          <w:b/>
          <w:bCs/>
          <w:iCs/>
          <w:sz w:val="56"/>
          <w:szCs w:val="56"/>
          <w:lang w:val="es-ES_tradnl" w:eastAsia="en-US"/>
        </w:rPr>
        <w:t>FONDOS ESTRUCTURALES Y DE INVERSIÓN EUROPEOS Y DISCAPACIDAD</w:t>
      </w:r>
    </w:p>
    <w:p w:rsidR="000B1728" w:rsidRPr="00C92966" w:rsidRDefault="000B1728" w:rsidP="00B72FB0">
      <w:pPr>
        <w:spacing w:after="360" w:line="360" w:lineRule="auto"/>
        <w:ind w:left="284" w:right="283"/>
        <w:jc w:val="center"/>
        <w:rPr>
          <w:rFonts w:ascii="Arial" w:eastAsia="Calibri" w:hAnsi="Arial" w:cs="Arial"/>
          <w:b/>
          <w:bCs/>
          <w:i/>
          <w:iCs/>
          <w:color w:val="365F91" w:themeColor="accent1" w:themeShade="BF"/>
          <w:sz w:val="36"/>
          <w:szCs w:val="36"/>
          <w:lang w:val="es-ES_tradnl" w:eastAsia="en-US"/>
          <w14:shadow w14:blurRad="50800" w14:dist="38100" w14:dir="2700000" w14:sx="100000" w14:sy="100000" w14:kx="0" w14:ky="0" w14:algn="tl">
            <w14:srgbClr w14:val="000000">
              <w14:alpha w14:val="60000"/>
            </w14:srgbClr>
          </w14:shadow>
        </w:rPr>
      </w:pPr>
      <w:r w:rsidRPr="00C92966">
        <w:rPr>
          <w:rFonts w:ascii="Arial" w:eastAsia="Calibri" w:hAnsi="Arial" w:cs="Arial"/>
          <w:b/>
          <w:bCs/>
          <w:i/>
          <w:iCs/>
          <w:color w:val="365F91" w:themeColor="accent1" w:themeShade="BF"/>
          <w:sz w:val="36"/>
          <w:szCs w:val="36"/>
          <w:lang w:val="es-ES_tradnl" w:eastAsia="en-US"/>
          <w14:shadow w14:blurRad="50800" w14:dist="38100" w14:dir="2700000" w14:sx="100000" w14:sy="100000" w14:kx="0" w14:ky="0" w14:algn="tl">
            <w14:srgbClr w14:val="000000">
              <w14:alpha w14:val="60000"/>
            </w14:srgbClr>
          </w14:shadow>
        </w:rPr>
        <w:t>Guía de incidencia política de los CERMI</w:t>
      </w:r>
      <w:r w:rsidR="00ED1743" w:rsidRPr="00C92966">
        <w:rPr>
          <w:rFonts w:ascii="Arial" w:eastAsia="Calibri" w:hAnsi="Arial" w:cs="Arial"/>
          <w:b/>
          <w:bCs/>
          <w:i/>
          <w:iCs/>
          <w:color w:val="365F91" w:themeColor="accent1" w:themeShade="BF"/>
          <w:sz w:val="36"/>
          <w:szCs w:val="36"/>
          <w:lang w:val="es-ES_tradnl" w:eastAsia="en-US"/>
          <w14:shadow w14:blurRad="50800" w14:dist="38100" w14:dir="2700000" w14:sx="100000" w14:sy="100000" w14:kx="0" w14:ky="0" w14:algn="tl">
            <w14:srgbClr w14:val="000000">
              <w14:alpha w14:val="60000"/>
            </w14:srgbClr>
          </w14:shadow>
        </w:rPr>
        <w:t xml:space="preserve"> Autonómicos</w:t>
      </w:r>
      <w:r w:rsidRPr="00C92966">
        <w:rPr>
          <w:rFonts w:ascii="Arial" w:eastAsia="Calibri" w:hAnsi="Arial" w:cs="Arial"/>
          <w:b/>
          <w:bCs/>
          <w:i/>
          <w:iCs/>
          <w:color w:val="365F91" w:themeColor="accent1" w:themeShade="BF"/>
          <w:sz w:val="36"/>
          <w:szCs w:val="36"/>
          <w:lang w:val="es-ES_tradnl" w:eastAsia="en-US"/>
          <w14:shadow w14:blurRad="50800" w14:dist="38100" w14:dir="2700000" w14:sx="100000" w14:sy="100000" w14:kx="0" w14:ky="0" w14:algn="tl">
            <w14:srgbClr w14:val="000000">
              <w14:alpha w14:val="60000"/>
            </w14:srgbClr>
          </w14:shadow>
        </w:rPr>
        <w:t xml:space="preserve"> en los Comités de Seguimiento de los </w:t>
      </w:r>
      <w:r w:rsidR="00DD2058" w:rsidRPr="00C92966">
        <w:rPr>
          <w:rFonts w:ascii="Arial" w:eastAsia="Calibri" w:hAnsi="Arial" w:cs="Arial"/>
          <w:b/>
          <w:bCs/>
          <w:i/>
          <w:iCs/>
          <w:color w:val="365F91" w:themeColor="accent1" w:themeShade="BF"/>
          <w:sz w:val="36"/>
          <w:szCs w:val="36"/>
          <w:lang w:val="es-ES_tradnl" w:eastAsia="en-US"/>
          <w14:shadow w14:blurRad="50800" w14:dist="38100" w14:dir="2700000" w14:sx="100000" w14:sy="100000" w14:kx="0" w14:ky="0" w14:algn="tl">
            <w14:srgbClr w14:val="000000">
              <w14:alpha w14:val="60000"/>
            </w14:srgbClr>
          </w14:shadow>
        </w:rPr>
        <w:t>P</w:t>
      </w:r>
      <w:r w:rsidR="00457C25" w:rsidRPr="00C92966">
        <w:rPr>
          <w:rFonts w:ascii="Arial" w:eastAsia="Calibri" w:hAnsi="Arial" w:cs="Arial"/>
          <w:b/>
          <w:bCs/>
          <w:i/>
          <w:iCs/>
          <w:color w:val="365F91" w:themeColor="accent1" w:themeShade="BF"/>
          <w:sz w:val="36"/>
          <w:szCs w:val="36"/>
          <w:lang w:val="es-ES_tradnl" w:eastAsia="en-US"/>
          <w14:shadow w14:blurRad="50800" w14:dist="38100" w14:dir="2700000" w14:sx="100000" w14:sy="100000" w14:kx="0" w14:ky="0" w14:algn="tl">
            <w14:srgbClr w14:val="000000">
              <w14:alpha w14:val="60000"/>
            </w14:srgbClr>
          </w14:shadow>
        </w:rPr>
        <w:t>.</w:t>
      </w:r>
      <w:r w:rsidR="00DD2058" w:rsidRPr="00C92966">
        <w:rPr>
          <w:rFonts w:ascii="Arial" w:eastAsia="Calibri" w:hAnsi="Arial" w:cs="Arial"/>
          <w:b/>
          <w:bCs/>
          <w:i/>
          <w:iCs/>
          <w:color w:val="365F91" w:themeColor="accent1" w:themeShade="BF"/>
          <w:sz w:val="36"/>
          <w:szCs w:val="36"/>
          <w:lang w:val="es-ES_tradnl" w:eastAsia="en-US"/>
          <w14:shadow w14:blurRad="50800" w14:dist="38100" w14:dir="2700000" w14:sx="100000" w14:sy="100000" w14:kx="0" w14:ky="0" w14:algn="tl">
            <w14:srgbClr w14:val="000000">
              <w14:alpha w14:val="60000"/>
            </w14:srgbClr>
          </w14:shadow>
        </w:rPr>
        <w:t>O</w:t>
      </w:r>
      <w:r w:rsidR="00457C25" w:rsidRPr="00C92966">
        <w:rPr>
          <w:rFonts w:ascii="Arial" w:eastAsia="Calibri" w:hAnsi="Arial" w:cs="Arial"/>
          <w:b/>
          <w:bCs/>
          <w:i/>
          <w:iCs/>
          <w:color w:val="365F91" w:themeColor="accent1" w:themeShade="BF"/>
          <w:sz w:val="36"/>
          <w:szCs w:val="36"/>
          <w:lang w:val="es-ES_tradnl" w:eastAsia="en-US"/>
          <w14:shadow w14:blurRad="50800" w14:dist="38100" w14:dir="2700000" w14:sx="100000" w14:sy="100000" w14:kx="0" w14:ky="0" w14:algn="tl">
            <w14:srgbClr w14:val="000000">
              <w14:alpha w14:val="60000"/>
            </w14:srgbClr>
          </w14:shadow>
        </w:rPr>
        <w:t>.</w:t>
      </w:r>
      <w:r w:rsidR="00DD2058" w:rsidRPr="00C92966">
        <w:rPr>
          <w:rFonts w:ascii="Arial" w:eastAsia="Calibri" w:hAnsi="Arial" w:cs="Arial"/>
          <w:b/>
          <w:bCs/>
          <w:i/>
          <w:iCs/>
          <w:color w:val="365F91" w:themeColor="accent1" w:themeShade="BF"/>
          <w:sz w:val="36"/>
          <w:szCs w:val="36"/>
          <w:lang w:val="es-ES_tradnl" w:eastAsia="en-US"/>
          <w14:shadow w14:blurRad="50800" w14:dist="38100" w14:dir="2700000" w14:sx="100000" w14:sy="100000" w14:kx="0" w14:ky="0" w14:algn="tl">
            <w14:srgbClr w14:val="000000">
              <w14:alpha w14:val="60000"/>
            </w14:srgbClr>
          </w14:shadow>
        </w:rPr>
        <w:t xml:space="preserve"> FSE 2014-2020</w:t>
      </w:r>
    </w:p>
    <w:p w:rsidR="008A49F9" w:rsidRDefault="008A49F9" w:rsidP="00B72FB0">
      <w:pPr>
        <w:keepNext/>
        <w:keepLines/>
        <w:spacing w:before="480" w:after="0" w:line="276" w:lineRule="auto"/>
        <w:ind w:left="284" w:right="1132"/>
        <w:jc w:val="left"/>
        <w:rPr>
          <w:rFonts w:asciiTheme="majorHAnsi" w:eastAsiaTheme="majorEastAsia" w:hAnsiTheme="majorHAnsi" w:cstheme="majorBidi"/>
          <w:b/>
          <w:bCs/>
          <w:color w:val="365F91" w:themeColor="accent1" w:themeShade="BF"/>
          <w:sz w:val="28"/>
          <w:szCs w:val="28"/>
          <w:lang w:eastAsia="en-US"/>
        </w:rPr>
        <w:sectPr w:rsidR="008A49F9" w:rsidSect="00655BF9">
          <w:headerReference w:type="default" r:id="rId13"/>
          <w:footerReference w:type="default" r:id="rId14"/>
          <w:headerReference w:type="first" r:id="rId15"/>
          <w:footerReference w:type="first" r:id="rId16"/>
          <w:pgSz w:w="11907" w:h="16840" w:code="9"/>
          <w:pgMar w:top="1418" w:right="2409" w:bottom="1418" w:left="1418" w:header="561" w:footer="437" w:gutter="284"/>
          <w:cols w:space="720"/>
          <w:titlePg/>
          <w:docGrid w:linePitch="326"/>
        </w:sectPr>
      </w:pPr>
    </w:p>
    <w:p w:rsidR="005174B2" w:rsidRPr="005174B2" w:rsidRDefault="005174B2" w:rsidP="00B72FB0">
      <w:pPr>
        <w:keepNext/>
        <w:keepLines/>
        <w:spacing w:before="480" w:after="0" w:line="276" w:lineRule="auto"/>
        <w:ind w:left="284" w:right="1132"/>
        <w:jc w:val="left"/>
        <w:rPr>
          <w:rFonts w:asciiTheme="majorHAnsi" w:eastAsiaTheme="majorEastAsia" w:hAnsiTheme="majorHAnsi" w:cstheme="majorBidi"/>
          <w:b/>
          <w:bCs/>
          <w:color w:val="365F91" w:themeColor="accent1" w:themeShade="BF"/>
          <w:sz w:val="28"/>
          <w:szCs w:val="28"/>
          <w:lang w:eastAsia="en-US"/>
        </w:rPr>
      </w:pPr>
      <w:r w:rsidRPr="005174B2">
        <w:rPr>
          <w:rFonts w:asciiTheme="majorHAnsi" w:eastAsiaTheme="majorEastAsia" w:hAnsiTheme="majorHAnsi" w:cstheme="majorBidi"/>
          <w:b/>
          <w:bCs/>
          <w:color w:val="365F91" w:themeColor="accent1" w:themeShade="BF"/>
          <w:sz w:val="28"/>
          <w:szCs w:val="28"/>
          <w:lang w:eastAsia="en-US"/>
        </w:rPr>
        <w:lastRenderedPageBreak/>
        <w:t>Contenido</w:t>
      </w:r>
    </w:p>
    <w:p w:rsidR="000B4DD2" w:rsidRDefault="000B4DD2" w:rsidP="00B72FB0">
      <w:pPr>
        <w:pStyle w:val="TDC1"/>
        <w:tabs>
          <w:tab w:val="clear" w:pos="7077"/>
          <w:tab w:val="right" w:leader="dot" w:pos="8789"/>
        </w:tabs>
        <w:ind w:left="284" w:right="-2"/>
        <w:rPr>
          <w:rFonts w:ascii="Arial" w:eastAsia="Calibri" w:hAnsi="Arial"/>
          <w:szCs w:val="22"/>
          <w:lang w:eastAsia="en-US"/>
        </w:rPr>
      </w:pPr>
    </w:p>
    <w:p w:rsidR="005C096D" w:rsidRDefault="00A9575B" w:rsidP="00B72FB0">
      <w:pPr>
        <w:pStyle w:val="TDC1"/>
        <w:tabs>
          <w:tab w:val="clear" w:pos="7077"/>
          <w:tab w:val="right" w:leader="dot" w:pos="7797"/>
        </w:tabs>
        <w:rPr>
          <w:rFonts w:asciiTheme="minorHAnsi" w:eastAsiaTheme="minorEastAsia" w:hAnsiTheme="minorHAnsi" w:cstheme="minorBidi"/>
          <w:b w:val="0"/>
          <w:smallCaps w:val="0"/>
          <w:sz w:val="22"/>
          <w:szCs w:val="22"/>
        </w:rPr>
      </w:pPr>
      <w:r w:rsidRPr="005174B2">
        <w:rPr>
          <w:rFonts w:ascii="Arial" w:eastAsia="Calibri" w:hAnsi="Arial"/>
          <w:szCs w:val="22"/>
          <w:lang w:eastAsia="en-US"/>
        </w:rPr>
        <w:fldChar w:fldCharType="begin"/>
      </w:r>
      <w:r w:rsidR="005174B2" w:rsidRPr="005174B2">
        <w:rPr>
          <w:rFonts w:ascii="Arial" w:eastAsia="Calibri" w:hAnsi="Arial"/>
          <w:szCs w:val="22"/>
          <w:lang w:eastAsia="en-US"/>
        </w:rPr>
        <w:instrText xml:space="preserve"> TOC \o "1-3" \h \z \u </w:instrText>
      </w:r>
      <w:r w:rsidRPr="005174B2">
        <w:rPr>
          <w:rFonts w:ascii="Arial" w:eastAsia="Calibri" w:hAnsi="Arial"/>
          <w:szCs w:val="22"/>
          <w:lang w:eastAsia="en-US"/>
        </w:rPr>
        <w:fldChar w:fldCharType="separate"/>
      </w:r>
      <w:hyperlink w:anchor="_Toc425162928" w:history="1">
        <w:r w:rsidR="005C096D" w:rsidRPr="00BB7AEC">
          <w:rPr>
            <w:rStyle w:val="Hipervnculo"/>
            <w:rFonts w:asciiTheme="majorHAnsi" w:eastAsiaTheme="majorEastAsia" w:hAnsiTheme="majorHAnsi" w:cstheme="majorBidi"/>
            <w:bCs/>
            <w:spacing w:val="5"/>
            <w:kern w:val="28"/>
            <w:lang w:eastAsia="en-US"/>
          </w:rPr>
          <w:t>PRESENTACIÓN</w:t>
        </w:r>
        <w:r w:rsidR="005C096D">
          <w:rPr>
            <w:webHidden/>
          </w:rPr>
          <w:tab/>
        </w:r>
        <w:r>
          <w:rPr>
            <w:webHidden/>
          </w:rPr>
          <w:fldChar w:fldCharType="begin"/>
        </w:r>
        <w:r w:rsidR="005C096D">
          <w:rPr>
            <w:webHidden/>
          </w:rPr>
          <w:instrText xml:space="preserve"> PAGEREF _Toc425162928 \h </w:instrText>
        </w:r>
        <w:r>
          <w:rPr>
            <w:webHidden/>
          </w:rPr>
        </w:r>
        <w:r>
          <w:rPr>
            <w:webHidden/>
          </w:rPr>
          <w:fldChar w:fldCharType="separate"/>
        </w:r>
        <w:r w:rsidR="003B7A57">
          <w:rPr>
            <w:webHidden/>
          </w:rPr>
          <w:t>3</w:t>
        </w:r>
        <w:r>
          <w:rPr>
            <w:webHidden/>
          </w:rPr>
          <w:fldChar w:fldCharType="end"/>
        </w:r>
      </w:hyperlink>
    </w:p>
    <w:p w:rsidR="005C096D" w:rsidRDefault="00C92966" w:rsidP="00B72FB0">
      <w:pPr>
        <w:pStyle w:val="TDC1"/>
        <w:tabs>
          <w:tab w:val="clear" w:pos="7077"/>
          <w:tab w:val="right" w:leader="dot" w:pos="7797"/>
        </w:tabs>
        <w:rPr>
          <w:rFonts w:asciiTheme="minorHAnsi" w:eastAsiaTheme="minorEastAsia" w:hAnsiTheme="minorHAnsi" w:cstheme="minorBidi"/>
          <w:b w:val="0"/>
          <w:smallCaps w:val="0"/>
          <w:sz w:val="22"/>
          <w:szCs w:val="22"/>
        </w:rPr>
      </w:pPr>
      <w:hyperlink w:anchor="_Toc425162929" w:history="1">
        <w:r w:rsidR="005C096D" w:rsidRPr="00BB7AEC">
          <w:rPr>
            <w:rStyle w:val="Hipervnculo"/>
            <w:rFonts w:asciiTheme="majorHAnsi" w:eastAsiaTheme="majorEastAsia" w:hAnsiTheme="majorHAnsi" w:cstheme="majorBidi"/>
            <w:bCs/>
            <w:spacing w:val="5"/>
            <w:kern w:val="28"/>
            <w:lang w:eastAsia="en-US"/>
          </w:rPr>
          <w:t>CUESTIONES PRELIMINARES</w:t>
        </w:r>
        <w:r w:rsidR="005C096D">
          <w:rPr>
            <w:webHidden/>
          </w:rPr>
          <w:tab/>
        </w:r>
        <w:r w:rsidR="00A9575B">
          <w:rPr>
            <w:webHidden/>
          </w:rPr>
          <w:fldChar w:fldCharType="begin"/>
        </w:r>
        <w:r w:rsidR="005C096D">
          <w:rPr>
            <w:webHidden/>
          </w:rPr>
          <w:instrText xml:space="preserve"> PAGEREF _Toc425162929 \h </w:instrText>
        </w:r>
        <w:r w:rsidR="00A9575B">
          <w:rPr>
            <w:webHidden/>
          </w:rPr>
        </w:r>
        <w:r w:rsidR="00A9575B">
          <w:rPr>
            <w:webHidden/>
          </w:rPr>
          <w:fldChar w:fldCharType="separate"/>
        </w:r>
        <w:r w:rsidR="003B7A57">
          <w:rPr>
            <w:webHidden/>
          </w:rPr>
          <w:t>4</w:t>
        </w:r>
        <w:r w:rsidR="00A9575B">
          <w:rPr>
            <w:webHidden/>
          </w:rPr>
          <w:fldChar w:fldCharType="end"/>
        </w:r>
      </w:hyperlink>
    </w:p>
    <w:p w:rsidR="005C096D" w:rsidRDefault="00C92966" w:rsidP="00B72FB0">
      <w:pPr>
        <w:pStyle w:val="TDC1"/>
        <w:tabs>
          <w:tab w:val="clear" w:pos="7077"/>
          <w:tab w:val="right" w:leader="dot" w:pos="7797"/>
        </w:tabs>
        <w:rPr>
          <w:rFonts w:asciiTheme="minorHAnsi" w:eastAsiaTheme="minorEastAsia" w:hAnsiTheme="minorHAnsi" w:cstheme="minorBidi"/>
          <w:b w:val="0"/>
          <w:smallCaps w:val="0"/>
          <w:sz w:val="22"/>
          <w:szCs w:val="22"/>
        </w:rPr>
      </w:pPr>
      <w:hyperlink w:anchor="_Toc425162930" w:history="1">
        <w:r w:rsidR="005C096D" w:rsidRPr="00BB7AEC">
          <w:rPr>
            <w:rStyle w:val="Hipervnculo"/>
            <w:rFonts w:asciiTheme="majorHAnsi" w:eastAsiaTheme="majorEastAsia" w:hAnsiTheme="majorHAnsi" w:cstheme="majorBidi"/>
            <w:bCs/>
            <w:spacing w:val="5"/>
            <w:kern w:val="28"/>
            <w:lang w:eastAsia="en-US"/>
          </w:rPr>
          <w:t>Algunos aspectos generales a tener en cuenta</w:t>
        </w:r>
        <w:r w:rsidR="005C096D">
          <w:rPr>
            <w:webHidden/>
          </w:rPr>
          <w:tab/>
        </w:r>
        <w:r w:rsidR="00A9575B">
          <w:rPr>
            <w:webHidden/>
          </w:rPr>
          <w:fldChar w:fldCharType="begin"/>
        </w:r>
        <w:r w:rsidR="005C096D">
          <w:rPr>
            <w:webHidden/>
          </w:rPr>
          <w:instrText xml:space="preserve"> PAGEREF _Toc425162930 \h </w:instrText>
        </w:r>
        <w:r w:rsidR="00A9575B">
          <w:rPr>
            <w:webHidden/>
          </w:rPr>
        </w:r>
        <w:r w:rsidR="00A9575B">
          <w:rPr>
            <w:webHidden/>
          </w:rPr>
          <w:fldChar w:fldCharType="separate"/>
        </w:r>
        <w:r w:rsidR="003B7A57">
          <w:rPr>
            <w:webHidden/>
          </w:rPr>
          <w:t>5</w:t>
        </w:r>
        <w:r w:rsidR="00A9575B">
          <w:rPr>
            <w:webHidden/>
          </w:rPr>
          <w:fldChar w:fldCharType="end"/>
        </w:r>
      </w:hyperlink>
    </w:p>
    <w:p w:rsidR="005C096D" w:rsidRDefault="00C92966" w:rsidP="00B72FB0">
      <w:pPr>
        <w:pStyle w:val="TDC1"/>
        <w:tabs>
          <w:tab w:val="clear" w:pos="7077"/>
          <w:tab w:val="right" w:leader="dot" w:pos="7797"/>
        </w:tabs>
        <w:rPr>
          <w:rFonts w:asciiTheme="minorHAnsi" w:eastAsiaTheme="minorEastAsia" w:hAnsiTheme="minorHAnsi" w:cstheme="minorBidi"/>
          <w:b w:val="0"/>
          <w:smallCaps w:val="0"/>
          <w:sz w:val="22"/>
          <w:szCs w:val="22"/>
        </w:rPr>
      </w:pPr>
      <w:hyperlink w:anchor="_Toc425162931" w:history="1">
        <w:r w:rsidR="005C096D" w:rsidRPr="00BB7AEC">
          <w:rPr>
            <w:rStyle w:val="Hipervnculo"/>
            <w:rFonts w:asciiTheme="majorHAnsi" w:eastAsiaTheme="majorEastAsia" w:hAnsiTheme="majorHAnsi" w:cstheme="majorBidi"/>
            <w:bCs/>
            <w:spacing w:val="5"/>
            <w:kern w:val="28"/>
            <w:lang w:eastAsia="en-US"/>
          </w:rPr>
          <w:t>LA CREACIÓN DE LOS COMITÉS DE SEGUIMIENTO DE LOS PROGRAMAS OPERATIVOS</w:t>
        </w:r>
        <w:r w:rsidR="005C096D">
          <w:rPr>
            <w:webHidden/>
          </w:rPr>
          <w:tab/>
        </w:r>
        <w:r w:rsidR="00A9575B">
          <w:rPr>
            <w:webHidden/>
          </w:rPr>
          <w:fldChar w:fldCharType="begin"/>
        </w:r>
        <w:r w:rsidR="005C096D">
          <w:rPr>
            <w:webHidden/>
          </w:rPr>
          <w:instrText xml:space="preserve"> PAGEREF _Toc425162931 \h </w:instrText>
        </w:r>
        <w:r w:rsidR="00A9575B">
          <w:rPr>
            <w:webHidden/>
          </w:rPr>
        </w:r>
        <w:r w:rsidR="00A9575B">
          <w:rPr>
            <w:webHidden/>
          </w:rPr>
          <w:fldChar w:fldCharType="separate"/>
        </w:r>
        <w:r w:rsidR="003B7A57">
          <w:rPr>
            <w:webHidden/>
          </w:rPr>
          <w:t>7</w:t>
        </w:r>
        <w:r w:rsidR="00A9575B">
          <w:rPr>
            <w:webHidden/>
          </w:rPr>
          <w:fldChar w:fldCharType="end"/>
        </w:r>
      </w:hyperlink>
    </w:p>
    <w:p w:rsidR="005C096D" w:rsidRDefault="00C92966" w:rsidP="00B72FB0">
      <w:pPr>
        <w:pStyle w:val="TDC1"/>
        <w:tabs>
          <w:tab w:val="clear" w:pos="7077"/>
          <w:tab w:val="right" w:leader="dot" w:pos="7797"/>
        </w:tabs>
        <w:rPr>
          <w:rFonts w:asciiTheme="minorHAnsi" w:eastAsiaTheme="minorEastAsia" w:hAnsiTheme="minorHAnsi" w:cstheme="minorBidi"/>
          <w:b w:val="0"/>
          <w:smallCaps w:val="0"/>
          <w:sz w:val="22"/>
          <w:szCs w:val="22"/>
        </w:rPr>
      </w:pPr>
      <w:hyperlink w:anchor="_Toc425162932" w:history="1">
        <w:r w:rsidR="005C096D" w:rsidRPr="00BB7AEC">
          <w:rPr>
            <w:rStyle w:val="Hipervnculo"/>
            <w:rFonts w:asciiTheme="majorHAnsi" w:eastAsiaTheme="majorEastAsia" w:hAnsiTheme="majorHAnsi" w:cstheme="majorBidi"/>
            <w:bCs/>
            <w:spacing w:val="5"/>
            <w:kern w:val="28"/>
            <w:lang w:eastAsia="en-US"/>
          </w:rPr>
          <w:t>¿Cuál es el procedimiento para establecer un Comité de Seguimiento?</w:t>
        </w:r>
        <w:r w:rsidR="005C096D">
          <w:rPr>
            <w:webHidden/>
          </w:rPr>
          <w:tab/>
        </w:r>
        <w:r w:rsidR="00A9575B">
          <w:rPr>
            <w:webHidden/>
          </w:rPr>
          <w:fldChar w:fldCharType="begin"/>
        </w:r>
        <w:r w:rsidR="005C096D">
          <w:rPr>
            <w:webHidden/>
          </w:rPr>
          <w:instrText xml:space="preserve"> PAGEREF _Toc425162932 \h </w:instrText>
        </w:r>
        <w:r w:rsidR="00A9575B">
          <w:rPr>
            <w:webHidden/>
          </w:rPr>
        </w:r>
        <w:r w:rsidR="00A9575B">
          <w:rPr>
            <w:webHidden/>
          </w:rPr>
          <w:fldChar w:fldCharType="separate"/>
        </w:r>
        <w:r w:rsidR="003B7A57">
          <w:rPr>
            <w:webHidden/>
          </w:rPr>
          <w:t>8</w:t>
        </w:r>
        <w:r w:rsidR="00A9575B">
          <w:rPr>
            <w:webHidden/>
          </w:rPr>
          <w:fldChar w:fldCharType="end"/>
        </w:r>
      </w:hyperlink>
    </w:p>
    <w:p w:rsidR="005C096D" w:rsidRDefault="00C92966" w:rsidP="00B72FB0">
      <w:pPr>
        <w:pStyle w:val="TDC1"/>
        <w:tabs>
          <w:tab w:val="clear" w:pos="7077"/>
          <w:tab w:val="right" w:leader="dot" w:pos="7797"/>
        </w:tabs>
        <w:rPr>
          <w:rFonts w:asciiTheme="minorHAnsi" w:eastAsiaTheme="minorEastAsia" w:hAnsiTheme="minorHAnsi" w:cstheme="minorBidi"/>
          <w:b w:val="0"/>
          <w:smallCaps w:val="0"/>
          <w:sz w:val="22"/>
          <w:szCs w:val="22"/>
        </w:rPr>
      </w:pPr>
      <w:hyperlink w:anchor="_Toc425162933" w:history="1">
        <w:r w:rsidR="005C096D" w:rsidRPr="00BB7AEC">
          <w:rPr>
            <w:rStyle w:val="Hipervnculo"/>
            <w:rFonts w:asciiTheme="majorHAnsi" w:eastAsiaTheme="majorEastAsia" w:hAnsiTheme="majorHAnsi" w:cstheme="majorBidi"/>
            <w:bCs/>
            <w:spacing w:val="5"/>
            <w:kern w:val="28"/>
            <w:lang w:eastAsia="en-US"/>
          </w:rPr>
          <w:t>MIEMBROS</w:t>
        </w:r>
        <w:r w:rsidR="005C096D">
          <w:rPr>
            <w:webHidden/>
          </w:rPr>
          <w:tab/>
        </w:r>
        <w:r w:rsidR="00A9575B">
          <w:rPr>
            <w:webHidden/>
          </w:rPr>
          <w:fldChar w:fldCharType="begin"/>
        </w:r>
        <w:r w:rsidR="005C096D">
          <w:rPr>
            <w:webHidden/>
          </w:rPr>
          <w:instrText xml:space="preserve"> PAGEREF _Toc425162933 \h </w:instrText>
        </w:r>
        <w:r w:rsidR="00A9575B">
          <w:rPr>
            <w:webHidden/>
          </w:rPr>
        </w:r>
        <w:r w:rsidR="00A9575B">
          <w:rPr>
            <w:webHidden/>
          </w:rPr>
          <w:fldChar w:fldCharType="separate"/>
        </w:r>
        <w:r w:rsidR="003B7A57">
          <w:rPr>
            <w:webHidden/>
          </w:rPr>
          <w:t>10</w:t>
        </w:r>
        <w:r w:rsidR="00A9575B">
          <w:rPr>
            <w:webHidden/>
          </w:rPr>
          <w:fldChar w:fldCharType="end"/>
        </w:r>
      </w:hyperlink>
    </w:p>
    <w:p w:rsidR="005C096D" w:rsidRDefault="00C92966" w:rsidP="00B72FB0">
      <w:pPr>
        <w:pStyle w:val="TDC1"/>
        <w:tabs>
          <w:tab w:val="clear" w:pos="7077"/>
          <w:tab w:val="right" w:leader="dot" w:pos="7797"/>
        </w:tabs>
        <w:rPr>
          <w:rFonts w:asciiTheme="minorHAnsi" w:eastAsiaTheme="minorEastAsia" w:hAnsiTheme="minorHAnsi" w:cstheme="minorBidi"/>
          <w:b w:val="0"/>
          <w:smallCaps w:val="0"/>
          <w:sz w:val="22"/>
          <w:szCs w:val="22"/>
        </w:rPr>
      </w:pPr>
      <w:hyperlink w:anchor="_Toc425162934" w:history="1">
        <w:r w:rsidR="005C096D" w:rsidRPr="00BB7AEC">
          <w:rPr>
            <w:rStyle w:val="Hipervnculo"/>
            <w:rFonts w:asciiTheme="majorHAnsi" w:eastAsiaTheme="majorEastAsia" w:hAnsiTheme="majorHAnsi" w:cstheme="majorBidi"/>
            <w:bCs/>
            <w:spacing w:val="5"/>
            <w:kern w:val="28"/>
            <w:lang w:eastAsia="en-US"/>
          </w:rPr>
          <w:t>La composición de los Comités de Seguimiento</w:t>
        </w:r>
        <w:r w:rsidR="005C096D">
          <w:rPr>
            <w:webHidden/>
          </w:rPr>
          <w:tab/>
        </w:r>
        <w:r w:rsidR="00A9575B">
          <w:rPr>
            <w:webHidden/>
          </w:rPr>
          <w:fldChar w:fldCharType="begin"/>
        </w:r>
        <w:r w:rsidR="005C096D">
          <w:rPr>
            <w:webHidden/>
          </w:rPr>
          <w:instrText xml:space="preserve"> PAGEREF _Toc425162934 \h </w:instrText>
        </w:r>
        <w:r w:rsidR="00A9575B">
          <w:rPr>
            <w:webHidden/>
          </w:rPr>
        </w:r>
        <w:r w:rsidR="00A9575B">
          <w:rPr>
            <w:webHidden/>
          </w:rPr>
          <w:fldChar w:fldCharType="separate"/>
        </w:r>
        <w:r w:rsidR="003B7A57">
          <w:rPr>
            <w:webHidden/>
          </w:rPr>
          <w:t>11</w:t>
        </w:r>
        <w:r w:rsidR="00A9575B">
          <w:rPr>
            <w:webHidden/>
          </w:rPr>
          <w:fldChar w:fldCharType="end"/>
        </w:r>
      </w:hyperlink>
    </w:p>
    <w:p w:rsidR="005C096D" w:rsidRDefault="00C92966" w:rsidP="00B72FB0">
      <w:pPr>
        <w:pStyle w:val="TDC1"/>
        <w:tabs>
          <w:tab w:val="clear" w:pos="7077"/>
          <w:tab w:val="right" w:leader="dot" w:pos="7797"/>
        </w:tabs>
        <w:rPr>
          <w:rFonts w:asciiTheme="minorHAnsi" w:eastAsiaTheme="minorEastAsia" w:hAnsiTheme="minorHAnsi" w:cstheme="minorBidi"/>
          <w:b w:val="0"/>
          <w:smallCaps w:val="0"/>
          <w:sz w:val="22"/>
          <w:szCs w:val="22"/>
        </w:rPr>
      </w:pPr>
      <w:hyperlink w:anchor="_Toc425162935" w:history="1">
        <w:r w:rsidR="005C096D" w:rsidRPr="00BB7AEC">
          <w:rPr>
            <w:rStyle w:val="Hipervnculo"/>
            <w:rFonts w:asciiTheme="majorHAnsi" w:eastAsiaTheme="majorEastAsia" w:hAnsiTheme="majorHAnsi" w:cstheme="majorBidi"/>
            <w:bCs/>
            <w:spacing w:val="5"/>
            <w:kern w:val="28"/>
            <w:lang w:eastAsia="en-US"/>
          </w:rPr>
          <w:t>FUNCIONAMIENTO Y COMPETENCIAS</w:t>
        </w:r>
        <w:r w:rsidR="005C096D">
          <w:rPr>
            <w:webHidden/>
          </w:rPr>
          <w:tab/>
        </w:r>
        <w:r w:rsidR="00A9575B">
          <w:rPr>
            <w:webHidden/>
          </w:rPr>
          <w:fldChar w:fldCharType="begin"/>
        </w:r>
        <w:r w:rsidR="005C096D">
          <w:rPr>
            <w:webHidden/>
          </w:rPr>
          <w:instrText xml:space="preserve"> PAGEREF _Toc425162935 \h </w:instrText>
        </w:r>
        <w:r w:rsidR="00A9575B">
          <w:rPr>
            <w:webHidden/>
          </w:rPr>
        </w:r>
        <w:r w:rsidR="00A9575B">
          <w:rPr>
            <w:webHidden/>
          </w:rPr>
          <w:fldChar w:fldCharType="separate"/>
        </w:r>
        <w:r w:rsidR="003B7A57">
          <w:rPr>
            <w:webHidden/>
          </w:rPr>
          <w:t>13</w:t>
        </w:r>
        <w:r w:rsidR="00A9575B">
          <w:rPr>
            <w:webHidden/>
          </w:rPr>
          <w:fldChar w:fldCharType="end"/>
        </w:r>
      </w:hyperlink>
    </w:p>
    <w:p w:rsidR="005C096D" w:rsidRDefault="00C92966" w:rsidP="00B72FB0">
      <w:pPr>
        <w:pStyle w:val="TDC1"/>
        <w:tabs>
          <w:tab w:val="clear" w:pos="7077"/>
          <w:tab w:val="right" w:leader="dot" w:pos="7797"/>
        </w:tabs>
        <w:rPr>
          <w:rFonts w:asciiTheme="minorHAnsi" w:eastAsiaTheme="minorEastAsia" w:hAnsiTheme="minorHAnsi" w:cstheme="minorBidi"/>
          <w:b w:val="0"/>
          <w:smallCaps w:val="0"/>
          <w:sz w:val="22"/>
          <w:szCs w:val="22"/>
        </w:rPr>
      </w:pPr>
      <w:hyperlink w:anchor="_Toc425162936" w:history="1">
        <w:r w:rsidR="005C096D" w:rsidRPr="00BB7AEC">
          <w:rPr>
            <w:rStyle w:val="Hipervnculo"/>
            <w:rFonts w:asciiTheme="majorHAnsi" w:eastAsiaTheme="majorEastAsia" w:hAnsiTheme="majorHAnsi" w:cstheme="majorBidi"/>
            <w:bCs/>
            <w:spacing w:val="5"/>
            <w:kern w:val="28"/>
            <w:lang w:eastAsia="en-US"/>
          </w:rPr>
          <w:t>¿Cómo funcionan los Comités de Seguimiento?</w:t>
        </w:r>
        <w:r w:rsidR="005C096D">
          <w:rPr>
            <w:webHidden/>
          </w:rPr>
          <w:tab/>
        </w:r>
        <w:r w:rsidR="00A9575B">
          <w:rPr>
            <w:webHidden/>
          </w:rPr>
          <w:fldChar w:fldCharType="begin"/>
        </w:r>
        <w:r w:rsidR="005C096D">
          <w:rPr>
            <w:webHidden/>
          </w:rPr>
          <w:instrText xml:space="preserve"> PAGEREF _Toc425162936 \h </w:instrText>
        </w:r>
        <w:r w:rsidR="00A9575B">
          <w:rPr>
            <w:webHidden/>
          </w:rPr>
        </w:r>
        <w:r w:rsidR="00A9575B">
          <w:rPr>
            <w:webHidden/>
          </w:rPr>
          <w:fldChar w:fldCharType="separate"/>
        </w:r>
        <w:r w:rsidR="003B7A57">
          <w:rPr>
            <w:webHidden/>
          </w:rPr>
          <w:t>14</w:t>
        </w:r>
        <w:r w:rsidR="00A9575B">
          <w:rPr>
            <w:webHidden/>
          </w:rPr>
          <w:fldChar w:fldCharType="end"/>
        </w:r>
      </w:hyperlink>
    </w:p>
    <w:p w:rsidR="005C096D" w:rsidRDefault="00C92966" w:rsidP="00B72FB0">
      <w:pPr>
        <w:pStyle w:val="TDC1"/>
        <w:tabs>
          <w:tab w:val="clear" w:pos="7077"/>
          <w:tab w:val="right" w:leader="dot" w:pos="7797"/>
        </w:tabs>
        <w:rPr>
          <w:rFonts w:asciiTheme="minorHAnsi" w:eastAsiaTheme="minorEastAsia" w:hAnsiTheme="minorHAnsi" w:cstheme="minorBidi"/>
          <w:b w:val="0"/>
          <w:smallCaps w:val="0"/>
          <w:sz w:val="22"/>
          <w:szCs w:val="22"/>
        </w:rPr>
      </w:pPr>
      <w:hyperlink w:anchor="_Toc425162937" w:history="1">
        <w:r w:rsidR="005C096D" w:rsidRPr="00BB7AEC">
          <w:rPr>
            <w:rStyle w:val="Hipervnculo"/>
            <w:rFonts w:asciiTheme="majorHAnsi" w:eastAsiaTheme="majorEastAsia" w:hAnsiTheme="majorHAnsi" w:cstheme="majorBidi"/>
            <w:bCs/>
            <w:spacing w:val="5"/>
            <w:kern w:val="28"/>
            <w:lang w:eastAsia="en-US"/>
          </w:rPr>
          <w:t>Modus operandi</w:t>
        </w:r>
        <w:r w:rsidR="005C096D">
          <w:rPr>
            <w:webHidden/>
          </w:rPr>
          <w:tab/>
        </w:r>
        <w:r w:rsidR="00A9575B">
          <w:rPr>
            <w:webHidden/>
          </w:rPr>
          <w:fldChar w:fldCharType="begin"/>
        </w:r>
        <w:r w:rsidR="005C096D">
          <w:rPr>
            <w:webHidden/>
          </w:rPr>
          <w:instrText xml:space="preserve"> PAGEREF _Toc425162937 \h </w:instrText>
        </w:r>
        <w:r w:rsidR="00A9575B">
          <w:rPr>
            <w:webHidden/>
          </w:rPr>
        </w:r>
        <w:r w:rsidR="00A9575B">
          <w:rPr>
            <w:webHidden/>
          </w:rPr>
          <w:fldChar w:fldCharType="separate"/>
        </w:r>
        <w:r w:rsidR="003B7A57">
          <w:rPr>
            <w:webHidden/>
          </w:rPr>
          <w:t>15</w:t>
        </w:r>
        <w:r w:rsidR="00A9575B">
          <w:rPr>
            <w:webHidden/>
          </w:rPr>
          <w:fldChar w:fldCharType="end"/>
        </w:r>
      </w:hyperlink>
    </w:p>
    <w:p w:rsidR="005C096D" w:rsidRDefault="00C92966" w:rsidP="00B72FB0">
      <w:pPr>
        <w:pStyle w:val="TDC1"/>
        <w:tabs>
          <w:tab w:val="clear" w:pos="7077"/>
          <w:tab w:val="right" w:leader="dot" w:pos="7797"/>
        </w:tabs>
        <w:rPr>
          <w:rFonts w:asciiTheme="minorHAnsi" w:eastAsiaTheme="minorEastAsia" w:hAnsiTheme="minorHAnsi" w:cstheme="minorBidi"/>
          <w:b w:val="0"/>
          <w:smallCaps w:val="0"/>
          <w:sz w:val="22"/>
          <w:szCs w:val="22"/>
        </w:rPr>
      </w:pPr>
      <w:hyperlink w:anchor="_Toc425162938" w:history="1">
        <w:r w:rsidR="005C096D" w:rsidRPr="00BB7AEC">
          <w:rPr>
            <w:rStyle w:val="Hipervnculo"/>
            <w:rFonts w:asciiTheme="majorHAnsi" w:eastAsiaTheme="majorEastAsia" w:hAnsiTheme="majorHAnsi" w:cstheme="majorBidi"/>
            <w:bCs/>
            <w:spacing w:val="5"/>
            <w:kern w:val="28"/>
            <w:lang w:eastAsia="en-US"/>
          </w:rPr>
          <w:t>Instrumentos de seguimiento</w:t>
        </w:r>
        <w:r w:rsidR="005C096D">
          <w:rPr>
            <w:webHidden/>
          </w:rPr>
          <w:tab/>
        </w:r>
        <w:r w:rsidR="00A9575B">
          <w:rPr>
            <w:webHidden/>
          </w:rPr>
          <w:fldChar w:fldCharType="begin"/>
        </w:r>
        <w:r w:rsidR="005C096D">
          <w:rPr>
            <w:webHidden/>
          </w:rPr>
          <w:instrText xml:space="preserve"> PAGEREF _Toc425162938 \h </w:instrText>
        </w:r>
        <w:r w:rsidR="00A9575B">
          <w:rPr>
            <w:webHidden/>
          </w:rPr>
        </w:r>
        <w:r w:rsidR="00A9575B">
          <w:rPr>
            <w:webHidden/>
          </w:rPr>
          <w:fldChar w:fldCharType="separate"/>
        </w:r>
        <w:r w:rsidR="003B7A57">
          <w:rPr>
            <w:webHidden/>
          </w:rPr>
          <w:t>16</w:t>
        </w:r>
        <w:r w:rsidR="00A9575B">
          <w:rPr>
            <w:webHidden/>
          </w:rPr>
          <w:fldChar w:fldCharType="end"/>
        </w:r>
      </w:hyperlink>
    </w:p>
    <w:p w:rsidR="005C096D" w:rsidRDefault="00C92966" w:rsidP="00B72FB0">
      <w:pPr>
        <w:pStyle w:val="TDC1"/>
        <w:tabs>
          <w:tab w:val="clear" w:pos="7077"/>
          <w:tab w:val="right" w:leader="dot" w:pos="7797"/>
        </w:tabs>
        <w:rPr>
          <w:rFonts w:asciiTheme="minorHAnsi" w:eastAsiaTheme="minorEastAsia" w:hAnsiTheme="minorHAnsi" w:cstheme="minorBidi"/>
          <w:b w:val="0"/>
          <w:smallCaps w:val="0"/>
          <w:sz w:val="22"/>
          <w:szCs w:val="22"/>
        </w:rPr>
      </w:pPr>
      <w:hyperlink w:anchor="_Toc425162939" w:history="1">
        <w:r w:rsidR="005C096D" w:rsidRPr="00BB7AEC">
          <w:rPr>
            <w:rStyle w:val="Hipervnculo"/>
            <w:rFonts w:asciiTheme="majorHAnsi" w:eastAsiaTheme="majorEastAsia" w:hAnsiTheme="majorHAnsi" w:cstheme="majorBidi"/>
            <w:bCs/>
            <w:spacing w:val="5"/>
            <w:kern w:val="28"/>
            <w:lang w:eastAsia="en-US"/>
          </w:rPr>
          <w:t>ROL DE LOS CERMI EN LOS COMITÉS DE SEGUIMIENTO DE LOS P.O. del FSE:</w:t>
        </w:r>
        <w:r w:rsidR="005C096D">
          <w:rPr>
            <w:webHidden/>
          </w:rPr>
          <w:tab/>
        </w:r>
        <w:r w:rsidR="00A9575B">
          <w:rPr>
            <w:webHidden/>
          </w:rPr>
          <w:fldChar w:fldCharType="begin"/>
        </w:r>
        <w:r w:rsidR="005C096D">
          <w:rPr>
            <w:webHidden/>
          </w:rPr>
          <w:instrText xml:space="preserve"> PAGEREF _Toc425162939 \h </w:instrText>
        </w:r>
        <w:r w:rsidR="00A9575B">
          <w:rPr>
            <w:webHidden/>
          </w:rPr>
        </w:r>
        <w:r w:rsidR="00A9575B">
          <w:rPr>
            <w:webHidden/>
          </w:rPr>
          <w:fldChar w:fldCharType="separate"/>
        </w:r>
        <w:r w:rsidR="003B7A57">
          <w:rPr>
            <w:webHidden/>
          </w:rPr>
          <w:t>18</w:t>
        </w:r>
        <w:r w:rsidR="00A9575B">
          <w:rPr>
            <w:webHidden/>
          </w:rPr>
          <w:fldChar w:fldCharType="end"/>
        </w:r>
      </w:hyperlink>
    </w:p>
    <w:p w:rsidR="005C096D" w:rsidRDefault="00C92966" w:rsidP="00B72FB0">
      <w:pPr>
        <w:pStyle w:val="TDC1"/>
        <w:tabs>
          <w:tab w:val="clear" w:pos="7077"/>
          <w:tab w:val="right" w:leader="dot" w:pos="7797"/>
        </w:tabs>
        <w:rPr>
          <w:rFonts w:asciiTheme="minorHAnsi" w:eastAsiaTheme="minorEastAsia" w:hAnsiTheme="minorHAnsi" w:cstheme="minorBidi"/>
          <w:b w:val="0"/>
          <w:smallCaps w:val="0"/>
          <w:sz w:val="22"/>
          <w:szCs w:val="22"/>
        </w:rPr>
      </w:pPr>
      <w:hyperlink w:anchor="_Toc425162940" w:history="1">
        <w:r w:rsidR="005C096D" w:rsidRPr="00BB7AEC">
          <w:rPr>
            <w:rStyle w:val="Hipervnculo"/>
            <w:rFonts w:asciiTheme="majorHAnsi" w:eastAsiaTheme="majorEastAsia" w:hAnsiTheme="majorHAnsi" w:cstheme="majorBidi"/>
            <w:bCs/>
            <w:spacing w:val="5"/>
            <w:kern w:val="28"/>
            <w:lang w:eastAsia="en-US"/>
          </w:rPr>
          <w:t>PAUTAS DE INCIDENCIA POLÍTICA</w:t>
        </w:r>
        <w:r w:rsidR="005C096D">
          <w:rPr>
            <w:webHidden/>
          </w:rPr>
          <w:tab/>
        </w:r>
        <w:r w:rsidR="00A9575B">
          <w:rPr>
            <w:webHidden/>
          </w:rPr>
          <w:fldChar w:fldCharType="begin"/>
        </w:r>
        <w:r w:rsidR="005C096D">
          <w:rPr>
            <w:webHidden/>
          </w:rPr>
          <w:instrText xml:space="preserve"> PAGEREF _Toc425162940 \h </w:instrText>
        </w:r>
        <w:r w:rsidR="00A9575B">
          <w:rPr>
            <w:webHidden/>
          </w:rPr>
        </w:r>
        <w:r w:rsidR="00A9575B">
          <w:rPr>
            <w:webHidden/>
          </w:rPr>
          <w:fldChar w:fldCharType="separate"/>
        </w:r>
        <w:r w:rsidR="003B7A57">
          <w:rPr>
            <w:webHidden/>
          </w:rPr>
          <w:t>18</w:t>
        </w:r>
        <w:r w:rsidR="00A9575B">
          <w:rPr>
            <w:webHidden/>
          </w:rPr>
          <w:fldChar w:fldCharType="end"/>
        </w:r>
      </w:hyperlink>
    </w:p>
    <w:p w:rsidR="005C096D" w:rsidRDefault="00C92966" w:rsidP="00B72FB0">
      <w:pPr>
        <w:pStyle w:val="TDC1"/>
        <w:tabs>
          <w:tab w:val="clear" w:pos="7077"/>
          <w:tab w:val="right" w:leader="dot" w:pos="7797"/>
        </w:tabs>
        <w:rPr>
          <w:rFonts w:asciiTheme="minorHAnsi" w:eastAsiaTheme="minorEastAsia" w:hAnsiTheme="minorHAnsi" w:cstheme="minorBidi"/>
          <w:b w:val="0"/>
          <w:smallCaps w:val="0"/>
          <w:sz w:val="22"/>
          <w:szCs w:val="22"/>
        </w:rPr>
      </w:pPr>
      <w:hyperlink w:anchor="_Toc425162941" w:history="1">
        <w:r w:rsidR="005C096D" w:rsidRPr="00BB7AEC">
          <w:rPr>
            <w:rStyle w:val="Hipervnculo"/>
            <w:rFonts w:asciiTheme="majorHAnsi" w:eastAsiaTheme="majorEastAsia" w:hAnsiTheme="majorHAnsi" w:cstheme="majorBidi"/>
            <w:bCs/>
            <w:spacing w:val="5"/>
            <w:kern w:val="28"/>
            <w:lang w:eastAsia="en-US"/>
          </w:rPr>
          <w:t>Diez pasos para la incidencia política de los CERMI en los Comités de Seguimiento</w:t>
        </w:r>
        <w:r w:rsidR="005C096D">
          <w:rPr>
            <w:webHidden/>
          </w:rPr>
          <w:tab/>
        </w:r>
        <w:r w:rsidR="00A9575B">
          <w:rPr>
            <w:webHidden/>
          </w:rPr>
          <w:fldChar w:fldCharType="begin"/>
        </w:r>
        <w:r w:rsidR="005C096D">
          <w:rPr>
            <w:webHidden/>
          </w:rPr>
          <w:instrText xml:space="preserve"> PAGEREF _Toc425162941 \h </w:instrText>
        </w:r>
        <w:r w:rsidR="00A9575B">
          <w:rPr>
            <w:webHidden/>
          </w:rPr>
        </w:r>
        <w:r w:rsidR="00A9575B">
          <w:rPr>
            <w:webHidden/>
          </w:rPr>
          <w:fldChar w:fldCharType="separate"/>
        </w:r>
        <w:r w:rsidR="003B7A57">
          <w:rPr>
            <w:webHidden/>
          </w:rPr>
          <w:t>19</w:t>
        </w:r>
        <w:r w:rsidR="00A9575B">
          <w:rPr>
            <w:webHidden/>
          </w:rPr>
          <w:fldChar w:fldCharType="end"/>
        </w:r>
      </w:hyperlink>
    </w:p>
    <w:p w:rsidR="005174B2" w:rsidRDefault="00A9575B" w:rsidP="008A49F9">
      <w:pPr>
        <w:tabs>
          <w:tab w:val="right" w:leader="dot" w:pos="7513"/>
        </w:tabs>
        <w:spacing w:before="0" w:after="0"/>
        <w:ind w:left="284" w:right="-2"/>
        <w:jc w:val="left"/>
        <w:rPr>
          <w:rFonts w:ascii="Arial" w:eastAsia="Calibri" w:hAnsi="Arial"/>
          <w:sz w:val="20"/>
          <w:szCs w:val="22"/>
          <w:lang w:eastAsia="en-US"/>
        </w:rPr>
      </w:pPr>
      <w:r w:rsidRPr="005174B2">
        <w:rPr>
          <w:rFonts w:ascii="Arial" w:eastAsia="Calibri" w:hAnsi="Arial"/>
          <w:sz w:val="20"/>
          <w:szCs w:val="22"/>
          <w:lang w:eastAsia="en-US"/>
        </w:rPr>
        <w:fldChar w:fldCharType="end"/>
      </w:r>
      <w:r w:rsidR="005174B2">
        <w:rPr>
          <w:rFonts w:ascii="Arial" w:eastAsia="Calibri" w:hAnsi="Arial"/>
          <w:sz w:val="20"/>
          <w:szCs w:val="22"/>
          <w:lang w:eastAsia="en-US"/>
        </w:rPr>
        <w:br w:type="page"/>
      </w:r>
    </w:p>
    <w:p w:rsidR="0075449F" w:rsidRPr="00DD2058" w:rsidRDefault="00215D89" w:rsidP="00B72FB0">
      <w:pPr>
        <w:keepNext/>
        <w:keepLines/>
        <w:pBdr>
          <w:bottom w:val="single" w:sz="8" w:space="4" w:color="4F81BD" w:themeColor="accent1"/>
        </w:pBdr>
        <w:tabs>
          <w:tab w:val="left" w:pos="7513"/>
        </w:tabs>
        <w:spacing w:after="360" w:line="360" w:lineRule="auto"/>
        <w:ind w:right="283"/>
        <w:contextualSpacing/>
        <w:rPr>
          <w:rFonts w:asciiTheme="majorHAnsi" w:eastAsiaTheme="majorEastAsia" w:hAnsiTheme="majorHAnsi" w:cstheme="majorBidi"/>
          <w:b/>
          <w:bCs/>
          <w:color w:val="17365D" w:themeColor="text2" w:themeShade="BF"/>
          <w:spacing w:val="5"/>
          <w:kern w:val="28"/>
          <w:sz w:val="52"/>
          <w:szCs w:val="52"/>
          <w:lang w:eastAsia="en-US"/>
        </w:rPr>
      </w:pPr>
      <w:bookmarkStart w:id="1" w:name="_Toc425162928"/>
      <w:r>
        <w:rPr>
          <w:rFonts w:asciiTheme="majorHAnsi" w:eastAsiaTheme="majorEastAsia" w:hAnsiTheme="majorHAnsi" w:cstheme="majorBidi"/>
          <w:b/>
          <w:bCs/>
          <w:color w:val="17365D" w:themeColor="text2" w:themeShade="BF"/>
          <w:spacing w:val="5"/>
          <w:kern w:val="28"/>
          <w:sz w:val="52"/>
          <w:szCs w:val="52"/>
          <w:lang w:eastAsia="en-US"/>
        </w:rPr>
        <w:lastRenderedPageBreak/>
        <w:t>PRESENTACIÓN</w:t>
      </w:r>
      <w:bookmarkEnd w:id="1"/>
      <w:r>
        <w:rPr>
          <w:rFonts w:asciiTheme="majorHAnsi" w:eastAsiaTheme="majorEastAsia" w:hAnsiTheme="majorHAnsi" w:cstheme="majorBidi"/>
          <w:b/>
          <w:bCs/>
          <w:color w:val="17365D" w:themeColor="text2" w:themeShade="BF"/>
          <w:spacing w:val="5"/>
          <w:kern w:val="28"/>
          <w:sz w:val="52"/>
          <w:szCs w:val="52"/>
          <w:lang w:eastAsia="en-US"/>
        </w:rPr>
        <w:t xml:space="preserve"> </w:t>
      </w:r>
    </w:p>
    <w:p w:rsidR="0075449F" w:rsidRDefault="0075449F" w:rsidP="00B72FB0">
      <w:pPr>
        <w:tabs>
          <w:tab w:val="left" w:pos="7513"/>
        </w:tabs>
        <w:spacing w:line="360" w:lineRule="auto"/>
        <w:ind w:right="283"/>
        <w:rPr>
          <w:rFonts w:ascii="Arial" w:eastAsia="Calibri" w:hAnsi="Arial"/>
          <w:szCs w:val="22"/>
          <w:lang w:eastAsia="en-US"/>
        </w:rPr>
      </w:pPr>
      <w:r w:rsidRPr="00DD2058">
        <w:rPr>
          <w:rFonts w:ascii="Arial" w:eastAsia="Calibri" w:hAnsi="Arial"/>
          <w:szCs w:val="22"/>
          <w:lang w:eastAsia="en-US"/>
        </w:rPr>
        <w:t xml:space="preserve">El objetivo de esta guía es </w:t>
      </w:r>
      <w:r w:rsidRPr="006618D3">
        <w:rPr>
          <w:rFonts w:ascii="Arial" w:eastAsia="Calibri" w:hAnsi="Arial"/>
          <w:b/>
          <w:szCs w:val="22"/>
          <w:lang w:eastAsia="en-US"/>
        </w:rPr>
        <w:t xml:space="preserve">aportar información clave sobre </w:t>
      </w:r>
      <w:r w:rsidR="00B412C0" w:rsidRPr="006618D3">
        <w:rPr>
          <w:rFonts w:ascii="Arial" w:eastAsia="Calibri" w:hAnsi="Arial"/>
          <w:b/>
          <w:szCs w:val="22"/>
          <w:lang w:eastAsia="en-US"/>
        </w:rPr>
        <w:t>uno de los principales mecanismos de gestión y seguimiento de la ejecuc</w:t>
      </w:r>
      <w:r w:rsidR="00BC4A05" w:rsidRPr="006618D3">
        <w:rPr>
          <w:rFonts w:ascii="Arial" w:eastAsia="Calibri" w:hAnsi="Arial"/>
          <w:b/>
          <w:szCs w:val="22"/>
          <w:lang w:eastAsia="en-US"/>
        </w:rPr>
        <w:t xml:space="preserve">ión y participación de </w:t>
      </w:r>
      <w:r w:rsidR="00B412C0" w:rsidRPr="006618D3">
        <w:rPr>
          <w:rFonts w:ascii="Arial" w:eastAsia="Calibri" w:hAnsi="Arial"/>
          <w:b/>
          <w:szCs w:val="22"/>
          <w:lang w:eastAsia="en-US"/>
        </w:rPr>
        <w:t xml:space="preserve">la sociedad en los Programas Operativos </w:t>
      </w:r>
      <w:r w:rsidR="00B412C0" w:rsidRPr="00E517DF">
        <w:rPr>
          <w:rFonts w:ascii="Arial" w:eastAsia="Calibri" w:hAnsi="Arial"/>
          <w:szCs w:val="22"/>
          <w:lang w:eastAsia="en-US"/>
        </w:rPr>
        <w:t>(</w:t>
      </w:r>
      <w:r w:rsidR="00E517DF" w:rsidRPr="00E517DF">
        <w:rPr>
          <w:rFonts w:ascii="Arial" w:eastAsia="Calibri" w:hAnsi="Arial"/>
          <w:szCs w:val="22"/>
          <w:lang w:eastAsia="en-US"/>
        </w:rPr>
        <w:t xml:space="preserve">en adelante </w:t>
      </w:r>
      <w:r w:rsidR="00B412C0" w:rsidRPr="00E517DF">
        <w:rPr>
          <w:rFonts w:ascii="Arial" w:eastAsia="Calibri" w:hAnsi="Arial"/>
          <w:szCs w:val="22"/>
          <w:lang w:eastAsia="en-US"/>
        </w:rPr>
        <w:t>P</w:t>
      </w:r>
      <w:r w:rsidR="0015583E" w:rsidRPr="00E517DF">
        <w:rPr>
          <w:rFonts w:ascii="Arial" w:eastAsia="Calibri" w:hAnsi="Arial"/>
          <w:szCs w:val="22"/>
          <w:lang w:eastAsia="en-US"/>
        </w:rPr>
        <w:t>.</w:t>
      </w:r>
      <w:r w:rsidR="00B412C0" w:rsidRPr="00E517DF">
        <w:rPr>
          <w:rFonts w:ascii="Arial" w:eastAsia="Calibri" w:hAnsi="Arial"/>
          <w:szCs w:val="22"/>
          <w:lang w:eastAsia="en-US"/>
        </w:rPr>
        <w:t>O</w:t>
      </w:r>
      <w:r w:rsidR="00457C25" w:rsidRPr="00E517DF">
        <w:rPr>
          <w:rFonts w:ascii="Arial" w:eastAsia="Calibri" w:hAnsi="Arial"/>
          <w:szCs w:val="22"/>
          <w:lang w:eastAsia="en-US"/>
        </w:rPr>
        <w:t>.</w:t>
      </w:r>
      <w:r w:rsidR="00B412C0" w:rsidRPr="00E517DF">
        <w:rPr>
          <w:rFonts w:ascii="Arial" w:eastAsia="Calibri" w:hAnsi="Arial"/>
          <w:szCs w:val="22"/>
          <w:lang w:eastAsia="en-US"/>
        </w:rPr>
        <w:t>)</w:t>
      </w:r>
      <w:r w:rsidR="00B412C0">
        <w:rPr>
          <w:rFonts w:ascii="Arial" w:eastAsia="Calibri" w:hAnsi="Arial"/>
          <w:szCs w:val="22"/>
          <w:lang w:eastAsia="en-US"/>
        </w:rPr>
        <w:t xml:space="preserve"> de los Fondos E</w:t>
      </w:r>
      <w:r w:rsidR="00E517DF">
        <w:rPr>
          <w:rFonts w:ascii="Arial" w:eastAsia="Calibri" w:hAnsi="Arial"/>
          <w:szCs w:val="22"/>
          <w:lang w:eastAsia="en-US"/>
        </w:rPr>
        <w:t xml:space="preserve">structurales y de </w:t>
      </w:r>
      <w:r w:rsidR="00B412C0">
        <w:rPr>
          <w:rFonts w:ascii="Arial" w:eastAsia="Calibri" w:hAnsi="Arial"/>
          <w:szCs w:val="22"/>
          <w:lang w:eastAsia="en-US"/>
        </w:rPr>
        <w:t>I</w:t>
      </w:r>
      <w:r w:rsidR="00E517DF">
        <w:rPr>
          <w:rFonts w:ascii="Arial" w:eastAsia="Calibri" w:hAnsi="Arial"/>
          <w:szCs w:val="22"/>
          <w:lang w:eastAsia="en-US"/>
        </w:rPr>
        <w:t xml:space="preserve">nversión </w:t>
      </w:r>
      <w:r w:rsidR="00B412C0">
        <w:rPr>
          <w:rFonts w:ascii="Arial" w:eastAsia="Calibri" w:hAnsi="Arial"/>
          <w:szCs w:val="22"/>
          <w:lang w:eastAsia="en-US"/>
        </w:rPr>
        <w:t>E</w:t>
      </w:r>
      <w:r w:rsidR="00E517DF">
        <w:rPr>
          <w:rFonts w:ascii="Arial" w:eastAsia="Calibri" w:hAnsi="Arial"/>
          <w:szCs w:val="22"/>
          <w:lang w:eastAsia="en-US"/>
        </w:rPr>
        <w:t>uropeos (en adelante Fondos EIE)</w:t>
      </w:r>
      <w:r w:rsidR="00B412C0">
        <w:rPr>
          <w:rFonts w:ascii="Arial" w:eastAsia="Calibri" w:hAnsi="Arial"/>
          <w:szCs w:val="22"/>
          <w:lang w:eastAsia="en-US"/>
        </w:rPr>
        <w:t xml:space="preserve"> durante el período 2014-2020: los Comités de Seguimiento. </w:t>
      </w:r>
    </w:p>
    <w:p w:rsidR="00B412C0" w:rsidRDefault="00B412C0" w:rsidP="00B72FB0">
      <w:pPr>
        <w:tabs>
          <w:tab w:val="left" w:pos="7513"/>
        </w:tabs>
        <w:spacing w:line="360" w:lineRule="auto"/>
        <w:ind w:right="283"/>
        <w:rPr>
          <w:rFonts w:ascii="Arial" w:eastAsia="Calibri" w:hAnsi="Arial"/>
          <w:szCs w:val="22"/>
          <w:lang w:eastAsia="en-US"/>
        </w:rPr>
      </w:pPr>
      <w:r>
        <w:rPr>
          <w:rFonts w:ascii="Arial" w:eastAsia="Calibri" w:hAnsi="Arial"/>
          <w:szCs w:val="22"/>
          <w:lang w:eastAsia="en-US"/>
        </w:rPr>
        <w:t xml:space="preserve">A lo largo del presente documento se desarrollará la información básica para conocer el origen, el papel y el funcionamiento de estas estructuras, </w:t>
      </w:r>
      <w:r w:rsidR="002C69D4">
        <w:rPr>
          <w:rFonts w:ascii="Arial" w:eastAsia="Calibri" w:hAnsi="Arial"/>
          <w:szCs w:val="22"/>
          <w:lang w:eastAsia="en-US"/>
        </w:rPr>
        <w:t>así como el rango de oportunidades de participaci</w:t>
      </w:r>
      <w:r w:rsidR="009A162A">
        <w:rPr>
          <w:rFonts w:ascii="Arial" w:eastAsia="Calibri" w:hAnsi="Arial"/>
          <w:szCs w:val="22"/>
          <w:lang w:eastAsia="en-US"/>
        </w:rPr>
        <w:t xml:space="preserve">ón en el seguimiento de los </w:t>
      </w:r>
      <w:r w:rsidR="005C096D">
        <w:rPr>
          <w:rFonts w:ascii="Arial" w:eastAsia="Calibri" w:hAnsi="Arial"/>
          <w:szCs w:val="22"/>
          <w:lang w:eastAsia="en-US"/>
        </w:rPr>
        <w:t>P.O.</w:t>
      </w:r>
      <w:r w:rsidR="00BC4A05">
        <w:rPr>
          <w:rFonts w:ascii="Arial" w:eastAsia="Calibri" w:hAnsi="Arial"/>
          <w:szCs w:val="22"/>
          <w:lang w:eastAsia="en-US"/>
        </w:rPr>
        <w:t xml:space="preserve"> que ofrecen a las entidades y ONG</w:t>
      </w:r>
      <w:r w:rsidR="009A162A">
        <w:rPr>
          <w:rFonts w:ascii="Arial" w:eastAsia="Calibri" w:hAnsi="Arial"/>
          <w:szCs w:val="22"/>
          <w:lang w:eastAsia="en-US"/>
        </w:rPr>
        <w:t xml:space="preserve">, </w:t>
      </w:r>
      <w:r w:rsidR="00BC4A05">
        <w:rPr>
          <w:rFonts w:ascii="Arial" w:eastAsia="Calibri" w:hAnsi="Arial"/>
          <w:szCs w:val="22"/>
          <w:lang w:eastAsia="en-US"/>
        </w:rPr>
        <w:t>incluyendo referencias a su creación</w:t>
      </w:r>
      <w:r w:rsidR="009A162A">
        <w:rPr>
          <w:rFonts w:ascii="Arial" w:eastAsia="Calibri" w:hAnsi="Arial"/>
          <w:szCs w:val="22"/>
          <w:lang w:eastAsia="en-US"/>
        </w:rPr>
        <w:t xml:space="preserve">, miembros, competencias y funcionamiento, así como otras cuestiones </w:t>
      </w:r>
      <w:r w:rsidR="00BC4A05">
        <w:rPr>
          <w:rFonts w:ascii="Arial" w:eastAsia="Calibri" w:hAnsi="Arial"/>
          <w:szCs w:val="22"/>
          <w:lang w:eastAsia="en-US"/>
        </w:rPr>
        <w:t>relevantes</w:t>
      </w:r>
      <w:r w:rsidR="009A162A">
        <w:rPr>
          <w:rFonts w:ascii="Arial" w:eastAsia="Calibri" w:hAnsi="Arial"/>
          <w:szCs w:val="22"/>
          <w:lang w:eastAsia="en-US"/>
        </w:rPr>
        <w:t xml:space="preserve">. </w:t>
      </w:r>
    </w:p>
    <w:p w:rsidR="002C69D4" w:rsidRDefault="002C69D4" w:rsidP="00B72FB0">
      <w:pPr>
        <w:tabs>
          <w:tab w:val="left" w:pos="7513"/>
        </w:tabs>
        <w:spacing w:line="360" w:lineRule="auto"/>
        <w:ind w:right="283"/>
        <w:rPr>
          <w:rFonts w:ascii="Arial" w:eastAsia="Calibri" w:hAnsi="Arial"/>
          <w:szCs w:val="22"/>
          <w:lang w:eastAsia="en-US"/>
        </w:rPr>
      </w:pPr>
      <w:r>
        <w:rPr>
          <w:rFonts w:ascii="Arial" w:eastAsia="Calibri" w:hAnsi="Arial"/>
          <w:szCs w:val="22"/>
          <w:lang w:eastAsia="en-US"/>
        </w:rPr>
        <w:t>Así pues, el contenido de esta Guía pretende ser de utilidad para las organizaciones que representan al movimiento de la discapacidad</w:t>
      </w:r>
      <w:r w:rsidR="00BF3730">
        <w:rPr>
          <w:rFonts w:ascii="Arial" w:eastAsia="Calibri" w:hAnsi="Arial"/>
          <w:szCs w:val="22"/>
          <w:lang w:eastAsia="en-US"/>
        </w:rPr>
        <w:t xml:space="preserve">, CERMI y CERMI </w:t>
      </w:r>
      <w:r w:rsidR="00193A2C">
        <w:rPr>
          <w:rFonts w:ascii="Arial" w:eastAsia="Calibri" w:hAnsi="Arial"/>
          <w:szCs w:val="22"/>
          <w:lang w:eastAsia="en-US"/>
        </w:rPr>
        <w:t>Autonómicos</w:t>
      </w:r>
      <w:r w:rsidR="00457C25">
        <w:rPr>
          <w:rFonts w:ascii="Arial" w:eastAsia="Calibri" w:hAnsi="Arial"/>
          <w:szCs w:val="22"/>
          <w:lang w:eastAsia="en-US"/>
        </w:rPr>
        <w:t>,</w:t>
      </w:r>
      <w:r w:rsidR="00193A2C">
        <w:rPr>
          <w:rStyle w:val="Refdecomentario"/>
        </w:rPr>
        <w:t xml:space="preserve"> </w:t>
      </w:r>
      <w:r w:rsidR="00193A2C">
        <w:rPr>
          <w:rFonts w:ascii="Arial" w:eastAsia="Calibri" w:hAnsi="Arial"/>
          <w:szCs w:val="22"/>
          <w:lang w:eastAsia="en-US"/>
        </w:rPr>
        <w:t>en</w:t>
      </w:r>
      <w:r w:rsidR="003B7435">
        <w:rPr>
          <w:rFonts w:ascii="Arial" w:eastAsia="Calibri" w:hAnsi="Arial"/>
          <w:szCs w:val="22"/>
          <w:lang w:eastAsia="en-US"/>
        </w:rPr>
        <w:t xml:space="preserve"> un doble sentido:</w:t>
      </w:r>
    </w:p>
    <w:p w:rsidR="003B7435" w:rsidRPr="004843C8" w:rsidRDefault="003B7435" w:rsidP="00B72FB0">
      <w:pPr>
        <w:pStyle w:val="Prrafodelista"/>
        <w:numPr>
          <w:ilvl w:val="0"/>
          <w:numId w:val="29"/>
        </w:numPr>
        <w:tabs>
          <w:tab w:val="left" w:pos="7513"/>
        </w:tabs>
        <w:spacing w:line="360" w:lineRule="auto"/>
        <w:ind w:left="0" w:right="283" w:hanging="567"/>
        <w:rPr>
          <w:rFonts w:ascii="Arial" w:eastAsia="Calibri" w:hAnsi="Arial"/>
          <w:szCs w:val="22"/>
          <w:lang w:eastAsia="en-US"/>
        </w:rPr>
      </w:pPr>
      <w:r w:rsidRPr="000C6215">
        <w:rPr>
          <w:rFonts w:ascii="Arial" w:eastAsia="Calibri" w:hAnsi="Arial"/>
          <w:szCs w:val="22"/>
          <w:lang w:eastAsia="en-US"/>
        </w:rPr>
        <w:t xml:space="preserve">Para </w:t>
      </w:r>
      <w:r w:rsidR="00BF3730">
        <w:rPr>
          <w:rFonts w:ascii="Arial" w:eastAsia="Calibri" w:hAnsi="Arial"/>
          <w:szCs w:val="22"/>
          <w:lang w:eastAsia="en-US"/>
        </w:rPr>
        <w:t xml:space="preserve">orientar en el ejercicio de </w:t>
      </w:r>
      <w:r w:rsidRPr="000C6215">
        <w:rPr>
          <w:rFonts w:ascii="Arial" w:eastAsia="Calibri" w:hAnsi="Arial"/>
          <w:szCs w:val="22"/>
          <w:lang w:eastAsia="en-US"/>
        </w:rPr>
        <w:t>su función de incidencia política</w:t>
      </w:r>
      <w:r w:rsidRPr="004843C8">
        <w:rPr>
          <w:rFonts w:ascii="Arial" w:eastAsia="Calibri" w:hAnsi="Arial"/>
          <w:szCs w:val="22"/>
          <w:lang w:eastAsia="en-US"/>
        </w:rPr>
        <w:t xml:space="preserve"> a la hora de garantizar el cumplimiento de lo establecido </w:t>
      </w:r>
      <w:r w:rsidR="007E12E3">
        <w:rPr>
          <w:rFonts w:ascii="Arial" w:eastAsia="Calibri" w:hAnsi="Arial"/>
          <w:szCs w:val="22"/>
          <w:lang w:eastAsia="en-US"/>
        </w:rPr>
        <w:t xml:space="preserve">en la legislación vigente </w:t>
      </w:r>
      <w:r w:rsidRPr="004843C8">
        <w:rPr>
          <w:rFonts w:ascii="Arial" w:eastAsia="Calibri" w:hAnsi="Arial"/>
          <w:szCs w:val="22"/>
          <w:lang w:eastAsia="en-US"/>
        </w:rPr>
        <w:t>en materia de accesibilidad universal e igualdad de trato en la programación y ejecución de los Fondos</w:t>
      </w:r>
      <w:r w:rsidR="009A162A" w:rsidRPr="004843C8">
        <w:rPr>
          <w:rFonts w:ascii="Arial" w:eastAsia="Calibri" w:hAnsi="Arial"/>
          <w:szCs w:val="22"/>
          <w:lang w:eastAsia="en-US"/>
        </w:rPr>
        <w:t xml:space="preserve"> Estructurales y de Inversión Europeos (</w:t>
      </w:r>
      <w:r w:rsidR="007E12E3">
        <w:rPr>
          <w:rFonts w:ascii="Arial" w:eastAsia="Calibri" w:hAnsi="Arial"/>
          <w:szCs w:val="22"/>
          <w:lang w:eastAsia="en-US"/>
        </w:rPr>
        <w:t xml:space="preserve">Fondos </w:t>
      </w:r>
      <w:r w:rsidRPr="004843C8">
        <w:rPr>
          <w:rFonts w:ascii="Arial" w:eastAsia="Calibri" w:hAnsi="Arial"/>
          <w:szCs w:val="22"/>
          <w:lang w:eastAsia="en-US"/>
        </w:rPr>
        <w:t>EIE</w:t>
      </w:r>
      <w:r w:rsidR="009A162A" w:rsidRPr="004843C8">
        <w:rPr>
          <w:rFonts w:ascii="Arial" w:eastAsia="Calibri" w:hAnsi="Arial"/>
          <w:szCs w:val="22"/>
          <w:lang w:eastAsia="en-US"/>
        </w:rPr>
        <w:t>)</w:t>
      </w:r>
      <w:r w:rsidRPr="004843C8">
        <w:rPr>
          <w:rFonts w:ascii="Arial" w:eastAsia="Calibri" w:hAnsi="Arial"/>
          <w:szCs w:val="22"/>
          <w:lang w:eastAsia="en-US"/>
        </w:rPr>
        <w:t xml:space="preserve"> y en particular, del </w:t>
      </w:r>
      <w:r w:rsidR="00491327" w:rsidRPr="004843C8">
        <w:rPr>
          <w:rFonts w:ascii="Arial" w:eastAsia="Calibri" w:hAnsi="Arial"/>
          <w:szCs w:val="22"/>
          <w:lang w:eastAsia="en-US"/>
        </w:rPr>
        <w:t>Fondo Social Europeo (</w:t>
      </w:r>
      <w:r w:rsidR="007E12E3">
        <w:rPr>
          <w:rFonts w:ascii="Arial" w:eastAsia="Calibri" w:hAnsi="Arial"/>
          <w:szCs w:val="22"/>
          <w:lang w:eastAsia="en-US"/>
        </w:rPr>
        <w:t xml:space="preserve">en adelante </w:t>
      </w:r>
      <w:r w:rsidR="00491327" w:rsidRPr="004843C8">
        <w:rPr>
          <w:rFonts w:ascii="Arial" w:eastAsia="Calibri" w:hAnsi="Arial"/>
          <w:szCs w:val="22"/>
          <w:lang w:eastAsia="en-US"/>
        </w:rPr>
        <w:t>FSE).</w:t>
      </w:r>
    </w:p>
    <w:p w:rsidR="003B7435" w:rsidRPr="004843C8" w:rsidRDefault="00491327" w:rsidP="00B72FB0">
      <w:pPr>
        <w:pStyle w:val="Prrafodelista"/>
        <w:numPr>
          <w:ilvl w:val="0"/>
          <w:numId w:val="29"/>
        </w:numPr>
        <w:tabs>
          <w:tab w:val="left" w:pos="7513"/>
        </w:tabs>
        <w:spacing w:line="360" w:lineRule="auto"/>
        <w:ind w:left="0" w:right="283" w:hanging="567"/>
        <w:rPr>
          <w:rFonts w:ascii="Arial" w:eastAsia="Calibri" w:hAnsi="Arial"/>
          <w:szCs w:val="22"/>
          <w:lang w:eastAsia="en-US"/>
        </w:rPr>
      </w:pPr>
      <w:r w:rsidRPr="004843C8">
        <w:rPr>
          <w:rFonts w:ascii="Arial" w:eastAsia="Calibri" w:hAnsi="Arial"/>
          <w:szCs w:val="22"/>
          <w:lang w:eastAsia="en-US"/>
        </w:rPr>
        <w:t>Para</w:t>
      </w:r>
      <w:r w:rsidR="008A49F9">
        <w:rPr>
          <w:rFonts w:ascii="Arial" w:eastAsia="Calibri" w:hAnsi="Arial"/>
          <w:szCs w:val="22"/>
          <w:lang w:eastAsia="en-US"/>
        </w:rPr>
        <w:t xml:space="preserve"> </w:t>
      </w:r>
      <w:r w:rsidR="00F85148">
        <w:rPr>
          <w:rFonts w:ascii="Arial" w:eastAsia="Calibri" w:hAnsi="Arial"/>
          <w:szCs w:val="22"/>
          <w:lang w:eastAsia="en-US"/>
        </w:rPr>
        <w:t>ser el instrumento prá</w:t>
      </w:r>
      <w:r w:rsidR="00BF3730">
        <w:rPr>
          <w:rFonts w:ascii="Arial" w:eastAsia="Calibri" w:hAnsi="Arial"/>
          <w:szCs w:val="22"/>
          <w:lang w:eastAsia="en-US"/>
        </w:rPr>
        <w:t xml:space="preserve">ctico que facilite </w:t>
      </w:r>
      <w:r w:rsidRPr="004843C8">
        <w:rPr>
          <w:rFonts w:ascii="Arial" w:eastAsia="Calibri" w:hAnsi="Arial"/>
          <w:szCs w:val="22"/>
          <w:lang w:eastAsia="en-US"/>
        </w:rPr>
        <w:t>a las entidades del movimiento de la discapacidad distribuidas por el territorio español</w:t>
      </w:r>
      <w:r w:rsidR="00E772A7">
        <w:rPr>
          <w:rFonts w:ascii="Arial" w:eastAsia="Calibri" w:hAnsi="Arial"/>
          <w:szCs w:val="22"/>
          <w:lang w:eastAsia="en-US"/>
        </w:rPr>
        <w:t>,</w:t>
      </w:r>
      <w:r w:rsidRPr="004843C8">
        <w:rPr>
          <w:rFonts w:ascii="Arial" w:eastAsia="Calibri" w:hAnsi="Arial"/>
          <w:szCs w:val="22"/>
          <w:lang w:eastAsia="en-US"/>
        </w:rPr>
        <w:t xml:space="preserve"> </w:t>
      </w:r>
      <w:r w:rsidR="00BF3730">
        <w:rPr>
          <w:rFonts w:ascii="Arial" w:eastAsia="Calibri" w:hAnsi="Arial"/>
          <w:szCs w:val="22"/>
          <w:lang w:eastAsia="en-US"/>
        </w:rPr>
        <w:t>su participación en</w:t>
      </w:r>
      <w:r w:rsidR="008A49F9">
        <w:rPr>
          <w:rFonts w:ascii="Arial" w:eastAsia="Calibri" w:hAnsi="Arial"/>
          <w:szCs w:val="22"/>
          <w:lang w:eastAsia="en-US"/>
        </w:rPr>
        <w:t xml:space="preserve"> </w:t>
      </w:r>
      <w:r w:rsidRPr="004843C8">
        <w:rPr>
          <w:rFonts w:ascii="Arial" w:eastAsia="Calibri" w:hAnsi="Arial"/>
          <w:szCs w:val="22"/>
          <w:lang w:eastAsia="en-US"/>
        </w:rPr>
        <w:t xml:space="preserve">los Comités de Seguimiento de los </w:t>
      </w:r>
      <w:r w:rsidR="00193A2C" w:rsidRPr="004843C8">
        <w:rPr>
          <w:rFonts w:ascii="Arial" w:eastAsia="Calibri" w:hAnsi="Arial"/>
          <w:szCs w:val="22"/>
          <w:lang w:eastAsia="en-US"/>
        </w:rPr>
        <w:t>P</w:t>
      </w:r>
      <w:r w:rsidR="00193A2C">
        <w:rPr>
          <w:rFonts w:ascii="Arial" w:eastAsia="Calibri" w:hAnsi="Arial"/>
          <w:szCs w:val="22"/>
          <w:lang w:eastAsia="en-US"/>
        </w:rPr>
        <w:t>.</w:t>
      </w:r>
      <w:r w:rsidR="00193A2C" w:rsidRPr="004843C8">
        <w:rPr>
          <w:rFonts w:ascii="Arial" w:eastAsia="Calibri" w:hAnsi="Arial"/>
          <w:szCs w:val="22"/>
          <w:lang w:eastAsia="en-US"/>
        </w:rPr>
        <w:t>O.</w:t>
      </w:r>
      <w:r w:rsidRPr="004843C8">
        <w:rPr>
          <w:rFonts w:ascii="Arial" w:eastAsia="Calibri" w:hAnsi="Arial"/>
          <w:szCs w:val="22"/>
          <w:lang w:eastAsia="en-US"/>
        </w:rPr>
        <w:t xml:space="preserve"> del FSE </w:t>
      </w:r>
      <w:r w:rsidR="009A162A" w:rsidRPr="004843C8">
        <w:rPr>
          <w:rFonts w:ascii="Arial" w:eastAsia="Calibri" w:hAnsi="Arial"/>
          <w:szCs w:val="22"/>
          <w:lang w:eastAsia="en-US"/>
        </w:rPr>
        <w:t>y</w:t>
      </w:r>
      <w:r w:rsidR="00E772A7">
        <w:rPr>
          <w:rFonts w:ascii="Arial" w:eastAsia="Calibri" w:hAnsi="Arial"/>
          <w:szCs w:val="22"/>
          <w:lang w:eastAsia="en-US"/>
        </w:rPr>
        <w:t xml:space="preserve"> el aprovechamiento de</w:t>
      </w:r>
      <w:r w:rsidR="009A162A" w:rsidRPr="004843C8">
        <w:rPr>
          <w:rFonts w:ascii="Arial" w:eastAsia="Calibri" w:hAnsi="Arial"/>
          <w:szCs w:val="22"/>
          <w:lang w:eastAsia="en-US"/>
        </w:rPr>
        <w:t xml:space="preserve"> las posibilidades de actuación e incidencia que éstos les ofrecen</w:t>
      </w:r>
      <w:r w:rsidR="00E772A7">
        <w:rPr>
          <w:rFonts w:ascii="Arial" w:eastAsia="Calibri" w:hAnsi="Arial"/>
          <w:szCs w:val="22"/>
          <w:lang w:eastAsia="en-US"/>
        </w:rPr>
        <w:t xml:space="preserve">, con vistas a </w:t>
      </w:r>
      <w:r w:rsidR="00BF3730">
        <w:rPr>
          <w:rFonts w:ascii="Arial" w:eastAsia="Calibri" w:hAnsi="Arial"/>
          <w:szCs w:val="22"/>
          <w:lang w:eastAsia="en-US"/>
        </w:rPr>
        <w:t>que los intereses de las personas con discapacidad sean tenidos en cuenta</w:t>
      </w:r>
    </w:p>
    <w:p w:rsidR="0087053E" w:rsidRDefault="00215D89" w:rsidP="008A49F9">
      <w:pPr>
        <w:keepNext/>
        <w:keepLines/>
        <w:spacing w:before="0" w:after="300" w:line="360" w:lineRule="auto"/>
        <w:ind w:left="284" w:right="1132"/>
        <w:contextualSpacing/>
        <w:rPr>
          <w:rFonts w:asciiTheme="majorHAnsi" w:eastAsiaTheme="majorEastAsia" w:hAnsiTheme="majorHAnsi" w:cstheme="majorBidi"/>
          <w:b/>
          <w:bCs/>
          <w:color w:val="17365D" w:themeColor="text2" w:themeShade="BF"/>
          <w:spacing w:val="5"/>
          <w:kern w:val="28"/>
          <w:sz w:val="80"/>
          <w:szCs w:val="80"/>
          <w:lang w:eastAsia="en-US"/>
        </w:rPr>
      </w:pPr>
      <w:bookmarkStart w:id="2" w:name="_Toc425162929"/>
      <w:r w:rsidRPr="00215D89">
        <w:rPr>
          <w:rFonts w:asciiTheme="majorHAnsi" w:eastAsiaTheme="majorEastAsia" w:hAnsiTheme="majorHAnsi" w:cstheme="majorBidi"/>
          <w:b/>
          <w:bCs/>
          <w:color w:val="17365D" w:themeColor="text2" w:themeShade="BF"/>
          <w:spacing w:val="5"/>
          <w:kern w:val="28"/>
          <w:sz w:val="80"/>
          <w:szCs w:val="80"/>
          <w:lang w:eastAsia="en-US"/>
        </w:rPr>
        <w:lastRenderedPageBreak/>
        <w:t>CUESTIONES PRELIMINARES</w:t>
      </w:r>
      <w:bookmarkEnd w:id="2"/>
    </w:p>
    <w:p w:rsidR="008A49F9" w:rsidRPr="00215D89" w:rsidRDefault="008A49F9" w:rsidP="008A49F9">
      <w:pPr>
        <w:rPr>
          <w:rFonts w:eastAsiaTheme="majorEastAsia"/>
          <w:kern w:val="28"/>
          <w:lang w:eastAsia="en-US"/>
        </w:rPr>
      </w:pPr>
    </w:p>
    <w:p w:rsidR="00DD2058" w:rsidRPr="00DD2058" w:rsidRDefault="00215D89" w:rsidP="00B72FB0">
      <w:pPr>
        <w:keepNext/>
        <w:keepLines/>
        <w:pBdr>
          <w:bottom w:val="single" w:sz="8" w:space="4" w:color="4F81BD" w:themeColor="accent1"/>
        </w:pBdr>
        <w:spacing w:before="0" w:after="300"/>
        <w:ind w:right="141"/>
        <w:contextualSpacing/>
        <w:jc w:val="left"/>
        <w:rPr>
          <w:rFonts w:asciiTheme="majorHAnsi" w:eastAsiaTheme="majorEastAsia" w:hAnsiTheme="majorHAnsi" w:cstheme="majorBidi"/>
          <w:b/>
          <w:bCs/>
          <w:color w:val="17365D" w:themeColor="text2" w:themeShade="BF"/>
          <w:spacing w:val="5"/>
          <w:kern w:val="28"/>
          <w:sz w:val="52"/>
          <w:szCs w:val="52"/>
          <w:lang w:eastAsia="en-US"/>
        </w:rPr>
      </w:pPr>
      <w:bookmarkStart w:id="3" w:name="_Toc425162930"/>
      <w:r>
        <w:rPr>
          <w:rFonts w:asciiTheme="majorHAnsi" w:eastAsiaTheme="majorEastAsia" w:hAnsiTheme="majorHAnsi" w:cstheme="majorBidi"/>
          <w:b/>
          <w:bCs/>
          <w:color w:val="17365D" w:themeColor="text2" w:themeShade="BF"/>
          <w:spacing w:val="5"/>
          <w:kern w:val="28"/>
          <w:sz w:val="52"/>
          <w:szCs w:val="52"/>
          <w:lang w:eastAsia="en-US"/>
        </w:rPr>
        <w:t>Algunos aspectos generales a tener en cuenta</w:t>
      </w:r>
      <w:bookmarkEnd w:id="3"/>
      <w:r w:rsidR="003F14D0">
        <w:rPr>
          <w:rFonts w:asciiTheme="majorHAnsi" w:eastAsiaTheme="majorEastAsia" w:hAnsiTheme="majorHAnsi" w:cstheme="majorBidi"/>
          <w:b/>
          <w:bCs/>
          <w:color w:val="17365D" w:themeColor="text2" w:themeShade="BF"/>
          <w:spacing w:val="5"/>
          <w:kern w:val="28"/>
          <w:sz w:val="52"/>
          <w:szCs w:val="52"/>
          <w:lang w:eastAsia="en-US"/>
        </w:rPr>
        <w:t xml:space="preserve"> </w:t>
      </w:r>
    </w:p>
    <w:p w:rsidR="009336B8" w:rsidRDefault="009336B8" w:rsidP="00B72FB0">
      <w:pPr>
        <w:spacing w:line="360" w:lineRule="auto"/>
        <w:ind w:right="283"/>
        <w:rPr>
          <w:rFonts w:ascii="Arial" w:eastAsia="Calibri" w:hAnsi="Arial"/>
          <w:szCs w:val="22"/>
          <w:lang w:eastAsia="en-US"/>
        </w:rPr>
      </w:pPr>
      <w:r w:rsidRPr="006B02FE">
        <w:rPr>
          <w:rFonts w:ascii="Arial" w:eastAsia="Calibri" w:hAnsi="Arial"/>
          <w:szCs w:val="22"/>
          <w:lang w:eastAsia="en-US"/>
        </w:rPr>
        <w:t xml:space="preserve">Los </w:t>
      </w:r>
      <w:r w:rsidRPr="006B02FE">
        <w:rPr>
          <w:rFonts w:ascii="Arial" w:eastAsia="Calibri" w:hAnsi="Arial"/>
          <w:b/>
          <w:szCs w:val="22"/>
          <w:lang w:eastAsia="en-US"/>
        </w:rPr>
        <w:t>Fondos Estructurales y de Inversión Europeos</w:t>
      </w:r>
      <w:r w:rsidR="008A49F9">
        <w:rPr>
          <w:rFonts w:ascii="Arial" w:eastAsia="Calibri" w:hAnsi="Arial"/>
          <w:szCs w:val="22"/>
          <w:lang w:eastAsia="en-US"/>
        </w:rPr>
        <w:t xml:space="preserve"> </w:t>
      </w:r>
      <w:r w:rsidRPr="006B02FE">
        <w:rPr>
          <w:rFonts w:ascii="Arial" w:eastAsia="Calibri" w:hAnsi="Arial"/>
          <w:szCs w:val="22"/>
          <w:lang w:eastAsia="en-US"/>
        </w:rPr>
        <w:t>2014-2020 son la herramienta fundamental de cohesión territorial europea e instrumento clave para la inclusión social de las personas con discapacidad en España y Europa.</w:t>
      </w:r>
      <w:r>
        <w:rPr>
          <w:rFonts w:ascii="Arial" w:eastAsia="Calibri" w:hAnsi="Arial"/>
          <w:szCs w:val="22"/>
          <w:lang w:eastAsia="en-US"/>
        </w:rPr>
        <w:t xml:space="preserve"> La programación de estos fondos se concreta en una serie de instrumentos programáticos bien delimitados que en lo que a las regiones europeas respecta incluye Programas Operativos plurirregionales y regionales.</w:t>
      </w:r>
      <w:r w:rsidR="008A49F9">
        <w:rPr>
          <w:rFonts w:ascii="Arial" w:eastAsia="Calibri" w:hAnsi="Arial"/>
          <w:szCs w:val="22"/>
          <w:lang w:eastAsia="en-US"/>
        </w:rPr>
        <w:t xml:space="preserve"> </w:t>
      </w:r>
    </w:p>
    <w:p w:rsidR="009336B8" w:rsidRDefault="009336B8" w:rsidP="00B72FB0">
      <w:pPr>
        <w:spacing w:line="360" w:lineRule="auto"/>
        <w:ind w:right="283"/>
        <w:rPr>
          <w:rFonts w:ascii="Arial" w:eastAsia="Calibri" w:hAnsi="Arial"/>
          <w:szCs w:val="22"/>
          <w:lang w:eastAsia="en-US"/>
        </w:rPr>
      </w:pPr>
      <w:r>
        <w:rPr>
          <w:rFonts w:ascii="Arial" w:eastAsia="Calibri" w:hAnsi="Arial"/>
          <w:szCs w:val="22"/>
          <w:lang w:eastAsia="en-US"/>
        </w:rPr>
        <w:t>Existen diversos mecanismos que velan por el buen desarrollo de lo planificado en dichos programas, siendo los Comités de Seguimiento el principal</w:t>
      </w:r>
      <w:r w:rsidR="00F56A7D">
        <w:rPr>
          <w:rFonts w:ascii="Arial" w:eastAsia="Calibri" w:hAnsi="Arial"/>
          <w:szCs w:val="22"/>
          <w:lang w:eastAsia="en-US"/>
        </w:rPr>
        <w:t xml:space="preserve"> entre ellos</w:t>
      </w:r>
      <w:r>
        <w:rPr>
          <w:rFonts w:ascii="Arial" w:eastAsia="Calibri" w:hAnsi="Arial"/>
          <w:szCs w:val="22"/>
          <w:lang w:eastAsia="en-US"/>
        </w:rPr>
        <w:t xml:space="preserve">. </w:t>
      </w:r>
    </w:p>
    <w:p w:rsidR="00F23FAB" w:rsidRDefault="00F23FAB" w:rsidP="00B72FB0">
      <w:pPr>
        <w:spacing w:line="360" w:lineRule="auto"/>
        <w:ind w:right="283"/>
        <w:rPr>
          <w:rFonts w:ascii="Arial" w:eastAsia="Calibri" w:hAnsi="Arial"/>
          <w:szCs w:val="22"/>
          <w:lang w:eastAsia="en-US"/>
        </w:rPr>
      </w:pPr>
      <w:r>
        <w:rPr>
          <w:rFonts w:ascii="Arial" w:eastAsia="Calibri" w:hAnsi="Arial"/>
          <w:szCs w:val="22"/>
          <w:lang w:eastAsia="en-US"/>
        </w:rPr>
        <w:t>Los Comités de Seguimiento de los P</w:t>
      </w:r>
      <w:r w:rsidR="009336B8">
        <w:rPr>
          <w:rFonts w:ascii="Arial" w:eastAsia="Calibri" w:hAnsi="Arial"/>
          <w:szCs w:val="22"/>
          <w:lang w:eastAsia="en-US"/>
        </w:rPr>
        <w:t>.</w:t>
      </w:r>
      <w:r>
        <w:rPr>
          <w:rFonts w:ascii="Arial" w:eastAsia="Calibri" w:hAnsi="Arial"/>
          <w:szCs w:val="22"/>
          <w:lang w:eastAsia="en-US"/>
        </w:rPr>
        <w:t>O</w:t>
      </w:r>
      <w:r w:rsidR="009336B8">
        <w:rPr>
          <w:rFonts w:ascii="Arial" w:eastAsia="Calibri" w:hAnsi="Arial"/>
          <w:szCs w:val="22"/>
          <w:lang w:eastAsia="en-US"/>
        </w:rPr>
        <w:t>.</w:t>
      </w:r>
      <w:r>
        <w:rPr>
          <w:rFonts w:ascii="Arial" w:eastAsia="Calibri" w:hAnsi="Arial"/>
          <w:szCs w:val="22"/>
          <w:lang w:eastAsia="en-US"/>
        </w:rPr>
        <w:t xml:space="preserve"> plurirregionales y regionales constituyen el foro de seguimiento de la ejecución de la programación de Fondos Europeos</w:t>
      </w:r>
      <w:r w:rsidR="00F56A7D">
        <w:rPr>
          <w:rFonts w:ascii="Arial" w:eastAsia="Calibri" w:hAnsi="Arial"/>
          <w:szCs w:val="22"/>
          <w:lang w:eastAsia="en-US"/>
        </w:rPr>
        <w:t xml:space="preserve"> por antonomasia</w:t>
      </w:r>
      <w:r>
        <w:rPr>
          <w:rFonts w:ascii="Arial" w:eastAsia="Calibri" w:hAnsi="Arial"/>
          <w:szCs w:val="22"/>
          <w:lang w:eastAsia="en-US"/>
        </w:rPr>
        <w:t xml:space="preserve">. </w:t>
      </w:r>
      <w:r w:rsidR="00E772A7">
        <w:rPr>
          <w:rFonts w:ascii="Arial" w:eastAsia="Calibri" w:hAnsi="Arial"/>
          <w:szCs w:val="22"/>
          <w:lang w:eastAsia="en-US"/>
        </w:rPr>
        <w:t>Como se verá con posterioridad, su principal función es la d</w:t>
      </w:r>
      <w:r w:rsidR="009336B8">
        <w:rPr>
          <w:rFonts w:ascii="Arial" w:eastAsia="Calibri" w:hAnsi="Arial"/>
          <w:szCs w:val="22"/>
          <w:lang w:eastAsia="en-US"/>
        </w:rPr>
        <w:t xml:space="preserve">e examinar la ejecución y los avances de los P.O. </w:t>
      </w:r>
    </w:p>
    <w:p w:rsidR="00C76D3E" w:rsidRDefault="00F23FAB" w:rsidP="00B72FB0">
      <w:pPr>
        <w:spacing w:line="360" w:lineRule="auto"/>
        <w:ind w:right="283"/>
        <w:rPr>
          <w:rFonts w:ascii="Arial" w:eastAsia="Calibri" w:hAnsi="Arial"/>
          <w:szCs w:val="22"/>
          <w:lang w:eastAsia="en-US"/>
        </w:rPr>
      </w:pPr>
      <w:r w:rsidRPr="00BD6689">
        <w:rPr>
          <w:rFonts w:ascii="Arial" w:eastAsia="Calibri" w:hAnsi="Arial"/>
          <w:szCs w:val="22"/>
          <w:lang w:eastAsia="en-US"/>
        </w:rPr>
        <w:t xml:space="preserve">Debido a las normas que regulan su creación, composición y funcionamiento, </w:t>
      </w:r>
      <w:r w:rsidR="00BC4A05" w:rsidRPr="00BD6689">
        <w:rPr>
          <w:rFonts w:ascii="Arial" w:eastAsia="Calibri" w:hAnsi="Arial"/>
          <w:szCs w:val="22"/>
          <w:lang w:eastAsia="en-US"/>
        </w:rPr>
        <w:t xml:space="preserve">el ejercicio de la incidencia política </w:t>
      </w:r>
      <w:r w:rsidRPr="00BD6689">
        <w:rPr>
          <w:rFonts w:ascii="Arial" w:eastAsia="Calibri" w:hAnsi="Arial"/>
          <w:szCs w:val="22"/>
          <w:lang w:eastAsia="en-US"/>
        </w:rPr>
        <w:t xml:space="preserve">en estos </w:t>
      </w:r>
      <w:r w:rsidR="00BD6689">
        <w:rPr>
          <w:rFonts w:ascii="Arial" w:eastAsia="Calibri" w:hAnsi="Arial"/>
          <w:szCs w:val="22"/>
          <w:lang w:eastAsia="en-US"/>
        </w:rPr>
        <w:t>Comités</w:t>
      </w:r>
      <w:r w:rsidR="008A49F9">
        <w:rPr>
          <w:rFonts w:ascii="Arial" w:eastAsia="Calibri" w:hAnsi="Arial"/>
          <w:szCs w:val="22"/>
          <w:lang w:eastAsia="en-US"/>
        </w:rPr>
        <w:t xml:space="preserve"> </w:t>
      </w:r>
      <w:r w:rsidRPr="00BD6689">
        <w:rPr>
          <w:rFonts w:ascii="Arial" w:eastAsia="Calibri" w:hAnsi="Arial"/>
          <w:szCs w:val="22"/>
          <w:lang w:eastAsia="en-US"/>
        </w:rPr>
        <w:t>de las entidades representativas de las personas con discapacidad, para</w:t>
      </w:r>
      <w:r w:rsidR="008A49F9">
        <w:rPr>
          <w:rFonts w:ascii="Arial" w:eastAsia="Calibri" w:hAnsi="Arial"/>
          <w:szCs w:val="22"/>
          <w:lang w:eastAsia="en-US"/>
        </w:rPr>
        <w:t xml:space="preserve"> </w:t>
      </w:r>
      <w:r w:rsidR="00741161" w:rsidRPr="00741161">
        <w:rPr>
          <w:rFonts w:ascii="Arial" w:eastAsia="Calibri" w:hAnsi="Arial"/>
          <w:szCs w:val="22"/>
          <w:lang w:eastAsia="en-US"/>
        </w:rPr>
        <w:t xml:space="preserve"> garantizar la aplicación efectiva</w:t>
      </w:r>
      <w:r w:rsidRPr="00BD6689">
        <w:rPr>
          <w:rFonts w:ascii="Arial" w:eastAsia="Calibri" w:hAnsi="Arial"/>
          <w:szCs w:val="22"/>
          <w:lang w:eastAsia="en-US"/>
        </w:rPr>
        <w:t xml:space="preserve"> </w:t>
      </w:r>
      <w:r w:rsidR="00457C25">
        <w:rPr>
          <w:rFonts w:ascii="Arial" w:eastAsia="Calibri" w:hAnsi="Arial"/>
          <w:szCs w:val="22"/>
          <w:lang w:eastAsia="en-US"/>
        </w:rPr>
        <w:t>de</w:t>
      </w:r>
      <w:r w:rsidRPr="00BD6689">
        <w:rPr>
          <w:rFonts w:ascii="Arial" w:eastAsia="Calibri" w:hAnsi="Arial"/>
          <w:szCs w:val="22"/>
          <w:lang w:eastAsia="en-US"/>
        </w:rPr>
        <w:t>l principio de acces</w:t>
      </w:r>
      <w:r w:rsidR="00C76D3E" w:rsidRPr="00BD6689">
        <w:rPr>
          <w:rFonts w:ascii="Arial" w:eastAsia="Calibri" w:hAnsi="Arial"/>
          <w:szCs w:val="22"/>
          <w:lang w:eastAsia="en-US"/>
        </w:rPr>
        <w:t>i</w:t>
      </w:r>
      <w:r w:rsidRPr="00BD6689">
        <w:rPr>
          <w:rFonts w:ascii="Arial" w:eastAsia="Calibri" w:hAnsi="Arial"/>
          <w:szCs w:val="22"/>
          <w:lang w:eastAsia="en-US"/>
        </w:rPr>
        <w:t xml:space="preserve">bilidad universal y </w:t>
      </w:r>
      <w:r w:rsidR="00C76D3E" w:rsidRPr="00BD6689">
        <w:rPr>
          <w:rFonts w:ascii="Arial" w:eastAsia="Calibri" w:hAnsi="Arial"/>
          <w:szCs w:val="22"/>
          <w:lang w:eastAsia="en-US"/>
        </w:rPr>
        <w:t>la igualdad de tr</w:t>
      </w:r>
      <w:r w:rsidR="00BC4A05" w:rsidRPr="0087347C">
        <w:rPr>
          <w:rFonts w:ascii="Arial" w:eastAsia="Calibri" w:hAnsi="Arial"/>
          <w:szCs w:val="22"/>
          <w:lang w:eastAsia="en-US"/>
        </w:rPr>
        <w:t>a</w:t>
      </w:r>
      <w:r w:rsidR="00C76D3E" w:rsidRPr="0087347C">
        <w:rPr>
          <w:rFonts w:ascii="Arial" w:eastAsia="Calibri" w:hAnsi="Arial"/>
          <w:szCs w:val="22"/>
          <w:lang w:eastAsia="en-US"/>
        </w:rPr>
        <w:t xml:space="preserve">to en las actuaciones cofinanciadas, debe entenderse como </w:t>
      </w:r>
      <w:r w:rsidR="00C76D3E" w:rsidRPr="0087347C">
        <w:rPr>
          <w:rFonts w:ascii="Arial" w:eastAsia="Calibri" w:hAnsi="Arial"/>
          <w:i/>
          <w:szCs w:val="22"/>
          <w:lang w:eastAsia="en-US"/>
        </w:rPr>
        <w:t>una carrera de fondo</w:t>
      </w:r>
      <w:r w:rsidR="00C76D3E" w:rsidRPr="00BD6689">
        <w:rPr>
          <w:rFonts w:ascii="Arial" w:eastAsia="Calibri" w:hAnsi="Arial"/>
          <w:szCs w:val="22"/>
          <w:lang w:eastAsia="en-US"/>
        </w:rPr>
        <w:t xml:space="preserve">, </w:t>
      </w:r>
      <w:r w:rsidR="00800501" w:rsidRPr="00BD6689">
        <w:rPr>
          <w:rFonts w:ascii="Arial" w:eastAsia="Calibri" w:hAnsi="Arial"/>
          <w:szCs w:val="22"/>
          <w:lang w:eastAsia="en-US"/>
        </w:rPr>
        <w:t>es decir</w:t>
      </w:r>
      <w:r w:rsidR="00C76D3E" w:rsidRPr="00BD6689">
        <w:rPr>
          <w:rFonts w:ascii="Arial" w:eastAsia="Calibri" w:hAnsi="Arial"/>
          <w:szCs w:val="22"/>
          <w:lang w:eastAsia="en-US"/>
        </w:rPr>
        <w:t xml:space="preserve">, como una </w:t>
      </w:r>
      <w:r w:rsidR="00C76D3E" w:rsidRPr="00BD6689">
        <w:rPr>
          <w:rFonts w:ascii="Arial" w:eastAsia="Calibri" w:hAnsi="Arial"/>
          <w:b/>
          <w:szCs w:val="22"/>
          <w:lang w:eastAsia="en-US"/>
        </w:rPr>
        <w:t xml:space="preserve">estrategia </w:t>
      </w:r>
      <w:r w:rsidR="00C76D3E" w:rsidRPr="00BD6689">
        <w:rPr>
          <w:rFonts w:ascii="Arial" w:eastAsia="Calibri" w:hAnsi="Arial"/>
          <w:b/>
          <w:szCs w:val="22"/>
          <w:lang w:eastAsia="en-US"/>
        </w:rPr>
        <w:lastRenderedPageBreak/>
        <w:t xml:space="preserve">de actuación a largo plazo </w:t>
      </w:r>
      <w:r w:rsidR="00C76D3E" w:rsidRPr="00BD6689">
        <w:rPr>
          <w:rFonts w:ascii="Arial" w:eastAsia="Calibri" w:hAnsi="Arial"/>
          <w:szCs w:val="22"/>
          <w:lang w:eastAsia="en-US"/>
        </w:rPr>
        <w:t xml:space="preserve">que no requiere tanto de un gran esfuerzo </w:t>
      </w:r>
      <w:r w:rsidR="00BC4A05" w:rsidRPr="00BD6689">
        <w:rPr>
          <w:rFonts w:ascii="Arial" w:eastAsia="Calibri" w:hAnsi="Arial"/>
          <w:szCs w:val="22"/>
          <w:lang w:eastAsia="en-US"/>
        </w:rPr>
        <w:t>de tiempo y recursos</w:t>
      </w:r>
      <w:r w:rsidR="00F56A7D">
        <w:rPr>
          <w:rFonts w:ascii="Arial" w:eastAsia="Calibri" w:hAnsi="Arial"/>
          <w:szCs w:val="22"/>
          <w:lang w:eastAsia="en-US"/>
        </w:rPr>
        <w:t>,</w:t>
      </w:r>
      <w:r w:rsidR="00BC4A05" w:rsidRPr="00BD6689">
        <w:rPr>
          <w:rFonts w:ascii="Arial" w:eastAsia="Calibri" w:hAnsi="Arial"/>
          <w:szCs w:val="22"/>
          <w:lang w:eastAsia="en-US"/>
        </w:rPr>
        <w:t xml:space="preserve"> </w:t>
      </w:r>
      <w:r w:rsidR="00C76D3E" w:rsidRPr="00BD6689">
        <w:rPr>
          <w:rFonts w:ascii="Arial" w:eastAsia="Calibri" w:hAnsi="Arial"/>
          <w:szCs w:val="22"/>
          <w:lang w:eastAsia="en-US"/>
        </w:rPr>
        <w:t>cuanto de la persistencia en el tiempo de</w:t>
      </w:r>
      <w:r w:rsidRPr="00BD6689">
        <w:rPr>
          <w:rFonts w:ascii="Arial" w:eastAsia="Calibri" w:hAnsi="Arial"/>
          <w:szCs w:val="22"/>
          <w:lang w:eastAsia="en-US"/>
        </w:rPr>
        <w:t xml:space="preserve"> </w:t>
      </w:r>
      <w:r w:rsidR="00C76D3E" w:rsidRPr="00BD6689">
        <w:rPr>
          <w:rFonts w:ascii="Arial" w:eastAsia="Calibri" w:hAnsi="Arial"/>
          <w:szCs w:val="22"/>
          <w:lang w:eastAsia="en-US"/>
        </w:rPr>
        <w:t>dicha actuació</w:t>
      </w:r>
      <w:r w:rsidR="00C76D3E" w:rsidRPr="00100CB8">
        <w:rPr>
          <w:rFonts w:ascii="Arial" w:eastAsia="Calibri" w:hAnsi="Arial"/>
          <w:szCs w:val="22"/>
          <w:lang w:eastAsia="en-US"/>
        </w:rPr>
        <w:t>n.</w:t>
      </w:r>
    </w:p>
    <w:p w:rsidR="00F56A7D" w:rsidRPr="00F56A7D" w:rsidRDefault="00FC5728" w:rsidP="00B72FB0">
      <w:pPr>
        <w:spacing w:line="360" w:lineRule="auto"/>
        <w:ind w:right="283"/>
        <w:rPr>
          <w:rFonts w:ascii="Arial" w:eastAsia="Calibri" w:hAnsi="Arial"/>
          <w:szCs w:val="22"/>
          <w:lang w:eastAsia="en-US"/>
        </w:rPr>
      </w:pPr>
      <w:r>
        <w:rPr>
          <w:rFonts w:ascii="Arial" w:eastAsia="Calibri" w:hAnsi="Arial"/>
          <w:szCs w:val="22"/>
          <w:lang w:eastAsia="en-US"/>
        </w:rPr>
        <w:t xml:space="preserve">En este sentido, conviene </w:t>
      </w:r>
      <w:r w:rsidR="00BC4A05">
        <w:rPr>
          <w:rFonts w:ascii="Arial" w:eastAsia="Calibri" w:hAnsi="Arial"/>
          <w:szCs w:val="22"/>
          <w:lang w:eastAsia="en-US"/>
        </w:rPr>
        <w:t xml:space="preserve">tener en cuenta </w:t>
      </w:r>
      <w:r>
        <w:rPr>
          <w:rFonts w:ascii="Arial" w:eastAsia="Calibri" w:hAnsi="Arial"/>
          <w:szCs w:val="22"/>
          <w:lang w:eastAsia="en-US"/>
        </w:rPr>
        <w:t xml:space="preserve">que </w:t>
      </w:r>
      <w:r w:rsidRPr="00C63EEA">
        <w:rPr>
          <w:rFonts w:ascii="Arial" w:eastAsia="Calibri" w:hAnsi="Arial"/>
          <w:szCs w:val="22"/>
          <w:u w:val="single"/>
          <w:lang w:eastAsia="en-US"/>
        </w:rPr>
        <w:t xml:space="preserve">el Comité de Seguimiento no es la estructura más </w:t>
      </w:r>
      <w:r w:rsidR="000D2328" w:rsidRPr="00C63EEA">
        <w:rPr>
          <w:rFonts w:ascii="Arial" w:eastAsia="Calibri" w:hAnsi="Arial"/>
          <w:szCs w:val="22"/>
          <w:u w:val="single"/>
          <w:lang w:eastAsia="en-US"/>
        </w:rPr>
        <w:t>indicada para proponer o canalizar demandas concretas</w:t>
      </w:r>
      <w:r w:rsidR="000D2328">
        <w:rPr>
          <w:rFonts w:ascii="Arial" w:eastAsia="Calibri" w:hAnsi="Arial"/>
          <w:szCs w:val="22"/>
          <w:lang w:eastAsia="en-US"/>
        </w:rPr>
        <w:t xml:space="preserve"> de financiación de programas</w:t>
      </w:r>
      <w:r w:rsidR="00F56A7D">
        <w:rPr>
          <w:rFonts w:ascii="Arial" w:eastAsia="Calibri" w:hAnsi="Arial"/>
          <w:szCs w:val="22"/>
          <w:lang w:eastAsia="en-US"/>
        </w:rPr>
        <w:t>,</w:t>
      </w:r>
      <w:r w:rsidR="000D2328">
        <w:rPr>
          <w:rFonts w:ascii="Arial" w:eastAsia="Calibri" w:hAnsi="Arial"/>
          <w:szCs w:val="22"/>
          <w:lang w:eastAsia="en-US"/>
        </w:rPr>
        <w:t xml:space="preserve"> y /o de ejecución de medidas en favor de las personas con discapacidad</w:t>
      </w:r>
      <w:r w:rsidR="00F56A7D">
        <w:rPr>
          <w:rFonts w:ascii="Arial" w:eastAsia="Calibri" w:hAnsi="Arial"/>
          <w:szCs w:val="22"/>
          <w:lang w:eastAsia="en-US"/>
        </w:rPr>
        <w:t>, pues esa no es su función</w:t>
      </w:r>
      <w:r w:rsidR="000D2328">
        <w:rPr>
          <w:rFonts w:ascii="Arial" w:eastAsia="Calibri" w:hAnsi="Arial"/>
          <w:szCs w:val="22"/>
          <w:lang w:eastAsia="en-US"/>
        </w:rPr>
        <w:t>. Esas demandas deberán presentarse a los organismos gestores del correspondiente Gobierno regional, con competencias en materia d</w:t>
      </w:r>
      <w:r w:rsidR="00A82B84">
        <w:rPr>
          <w:rFonts w:ascii="Arial" w:eastAsia="Calibri" w:hAnsi="Arial"/>
          <w:szCs w:val="22"/>
          <w:lang w:eastAsia="en-US"/>
        </w:rPr>
        <w:t>e</w:t>
      </w:r>
      <w:r w:rsidR="000D2328">
        <w:rPr>
          <w:rFonts w:ascii="Arial" w:eastAsia="Calibri" w:hAnsi="Arial"/>
          <w:szCs w:val="22"/>
          <w:lang w:eastAsia="en-US"/>
        </w:rPr>
        <w:t xml:space="preserve"> empleo, inclusión social, discapacidad, etc.</w:t>
      </w:r>
      <w:r w:rsidR="00BC4A05">
        <w:rPr>
          <w:rFonts w:ascii="Arial" w:eastAsia="Calibri" w:hAnsi="Arial"/>
          <w:szCs w:val="22"/>
          <w:lang w:eastAsia="en-US"/>
        </w:rPr>
        <w:t xml:space="preserve"> Sin embargo, las reuniones del Comité de Seguimiento son una </w:t>
      </w:r>
      <w:r w:rsidR="00BC4A05" w:rsidRPr="00F56A7D">
        <w:rPr>
          <w:rFonts w:ascii="Arial" w:eastAsia="Calibri" w:hAnsi="Arial"/>
          <w:b/>
          <w:szCs w:val="22"/>
          <w:lang w:eastAsia="en-US"/>
        </w:rPr>
        <w:t xml:space="preserve">buena oportunidad para </w:t>
      </w:r>
      <w:r w:rsidR="00F56A7D" w:rsidRPr="00F56A7D">
        <w:rPr>
          <w:rFonts w:ascii="Arial" w:eastAsia="Calibri" w:hAnsi="Arial"/>
          <w:b/>
          <w:i/>
          <w:szCs w:val="22"/>
          <w:lang w:eastAsia="en-US"/>
        </w:rPr>
        <w:t>poner sobre la mesa</w:t>
      </w:r>
      <w:r w:rsidR="00F56A7D" w:rsidRPr="00F56A7D">
        <w:rPr>
          <w:rFonts w:ascii="Arial" w:eastAsia="Calibri" w:hAnsi="Arial"/>
          <w:b/>
          <w:szCs w:val="22"/>
          <w:lang w:eastAsia="en-US"/>
        </w:rPr>
        <w:t xml:space="preserve"> y hacer que se tengan en cuenta los intereses de las personas con discapacidad,</w:t>
      </w:r>
      <w:r w:rsidR="00F56A7D">
        <w:rPr>
          <w:rFonts w:ascii="Arial" w:eastAsia="Calibri" w:hAnsi="Arial"/>
          <w:szCs w:val="22"/>
          <w:lang w:eastAsia="en-US"/>
        </w:rPr>
        <w:t xml:space="preserve"> reconocidos tanto por la legislación internacional</w:t>
      </w:r>
      <w:r w:rsidR="004160AF">
        <w:rPr>
          <w:rFonts w:ascii="Arial" w:eastAsia="Calibri" w:hAnsi="Arial"/>
          <w:szCs w:val="22"/>
          <w:lang w:eastAsia="en-US"/>
        </w:rPr>
        <w:t xml:space="preserve"> y europea</w:t>
      </w:r>
      <w:r w:rsidR="00F56A7D">
        <w:rPr>
          <w:rFonts w:ascii="Arial" w:eastAsia="Calibri" w:hAnsi="Arial"/>
          <w:szCs w:val="22"/>
          <w:lang w:eastAsia="en-US"/>
        </w:rPr>
        <w:t xml:space="preserve"> como por la legislación nacional. </w:t>
      </w:r>
    </w:p>
    <w:p w:rsidR="001157E5" w:rsidRDefault="00F56A7D" w:rsidP="00B72FB0">
      <w:pPr>
        <w:spacing w:line="360" w:lineRule="auto"/>
        <w:ind w:right="283"/>
        <w:rPr>
          <w:rFonts w:ascii="Arial" w:eastAsia="Calibri" w:hAnsi="Arial"/>
          <w:szCs w:val="22"/>
          <w:lang w:eastAsia="en-US"/>
        </w:rPr>
      </w:pPr>
      <w:r>
        <w:rPr>
          <w:rFonts w:ascii="Arial" w:eastAsia="Calibri" w:hAnsi="Arial"/>
          <w:szCs w:val="22"/>
          <w:lang w:eastAsia="en-US"/>
        </w:rPr>
        <w:t xml:space="preserve">Del mismo modo, las reuniones del Comité posibilitan </w:t>
      </w:r>
      <w:r w:rsidR="00BC4A05">
        <w:rPr>
          <w:rFonts w:ascii="Arial" w:eastAsia="Calibri" w:hAnsi="Arial"/>
          <w:szCs w:val="22"/>
          <w:lang w:eastAsia="en-US"/>
        </w:rPr>
        <w:t>conocer a los actores clave en materia de Fondos</w:t>
      </w:r>
      <w:r w:rsidR="00B54242">
        <w:rPr>
          <w:rFonts w:ascii="Arial" w:eastAsia="Calibri" w:hAnsi="Arial"/>
          <w:szCs w:val="22"/>
          <w:lang w:eastAsia="en-US"/>
        </w:rPr>
        <w:t xml:space="preserve"> EIE</w:t>
      </w:r>
      <w:r w:rsidR="00BC4A05">
        <w:rPr>
          <w:rFonts w:ascii="Arial" w:eastAsia="Calibri" w:hAnsi="Arial"/>
          <w:szCs w:val="22"/>
          <w:lang w:eastAsia="en-US"/>
        </w:rPr>
        <w:t xml:space="preserve"> en cada Comunidad, establecer contactos, empezar a crear lazos y complicidades, que abonan el terreno para encuentros en otros foros o circunstancias en que sí puedan plantearse propuestas en particular o proyectos específicos. </w:t>
      </w:r>
      <w:r w:rsidR="00C63EEA">
        <w:rPr>
          <w:rFonts w:ascii="Arial" w:eastAsia="Calibri" w:hAnsi="Arial"/>
          <w:szCs w:val="22"/>
          <w:lang w:eastAsia="en-US"/>
        </w:rPr>
        <w:t xml:space="preserve">También suponen una oportunidad para aproximarse a la Comisión Europea que suele tener presencia en dichos Comités. </w:t>
      </w:r>
    </w:p>
    <w:p w:rsidR="003D3D42" w:rsidRDefault="001157E5" w:rsidP="00B72FB0">
      <w:pPr>
        <w:spacing w:line="360" w:lineRule="auto"/>
        <w:ind w:right="283"/>
        <w:rPr>
          <w:rFonts w:ascii="Arial" w:eastAsia="Calibri" w:hAnsi="Arial"/>
          <w:szCs w:val="22"/>
          <w:lang w:eastAsia="en-US"/>
        </w:rPr>
      </w:pPr>
      <w:r>
        <w:rPr>
          <w:rFonts w:ascii="Arial" w:eastAsia="Calibri" w:hAnsi="Arial"/>
          <w:szCs w:val="22"/>
          <w:lang w:eastAsia="en-US"/>
        </w:rPr>
        <w:t xml:space="preserve">El </w:t>
      </w:r>
      <w:r w:rsidRPr="00C63EEA">
        <w:rPr>
          <w:rFonts w:ascii="Arial" w:eastAsia="Calibri" w:hAnsi="Arial"/>
          <w:b/>
          <w:szCs w:val="22"/>
          <w:lang w:eastAsia="en-US"/>
        </w:rPr>
        <w:t>objetivo</w:t>
      </w:r>
      <w:r>
        <w:rPr>
          <w:rFonts w:ascii="Arial" w:eastAsia="Calibri" w:hAnsi="Arial"/>
          <w:szCs w:val="22"/>
          <w:lang w:eastAsia="en-US"/>
        </w:rPr>
        <w:t xml:space="preserve"> de la participación de las entidades representativas de la discapacidad en los Comités de Seguimiento puede formularse, por tanto, como la defensa de los intereses de las personas con discapacidad </w:t>
      </w:r>
      <w:r w:rsidR="003D3D42">
        <w:rPr>
          <w:rFonts w:ascii="Arial" w:eastAsia="Calibri" w:hAnsi="Arial"/>
          <w:szCs w:val="22"/>
          <w:lang w:eastAsia="en-US"/>
        </w:rPr>
        <w:t xml:space="preserve">en el marco de los </w:t>
      </w:r>
      <w:r w:rsidR="00193A2C">
        <w:rPr>
          <w:rFonts w:ascii="Arial" w:eastAsia="Calibri" w:hAnsi="Arial"/>
          <w:szCs w:val="22"/>
          <w:lang w:eastAsia="en-US"/>
        </w:rPr>
        <w:t>P.O.</w:t>
      </w:r>
      <w:r w:rsidR="003D3D42">
        <w:rPr>
          <w:rFonts w:ascii="Arial" w:eastAsia="Calibri" w:hAnsi="Arial"/>
          <w:szCs w:val="22"/>
          <w:lang w:eastAsia="en-US"/>
        </w:rPr>
        <w:t xml:space="preserve"> y de las actuaciones previstas en el mismo, a partir del desarrollo de medidas específicas para su inclusión social y la transversalización de la accesibilidad de la igualdad de trato al conjunto de las actuaciones previstas para su cofinanciación.</w:t>
      </w:r>
    </w:p>
    <w:p w:rsidR="00FC65C5" w:rsidRPr="00215D89" w:rsidRDefault="00800501" w:rsidP="008A49F9">
      <w:pPr>
        <w:spacing w:line="360" w:lineRule="auto"/>
        <w:ind w:right="283"/>
        <w:rPr>
          <w:rFonts w:asciiTheme="majorHAnsi" w:eastAsiaTheme="majorEastAsia" w:hAnsiTheme="majorHAnsi" w:cstheme="majorBidi"/>
          <w:b/>
          <w:bCs/>
          <w:color w:val="17365D" w:themeColor="text2" w:themeShade="BF"/>
          <w:spacing w:val="5"/>
          <w:kern w:val="28"/>
          <w:sz w:val="80"/>
          <w:szCs w:val="80"/>
          <w:lang w:eastAsia="en-US"/>
        </w:rPr>
      </w:pPr>
      <w:r>
        <w:rPr>
          <w:rFonts w:ascii="Arial" w:eastAsia="Calibri" w:hAnsi="Arial"/>
          <w:szCs w:val="22"/>
          <w:lang w:eastAsia="en-US"/>
        </w:rPr>
        <w:lastRenderedPageBreak/>
        <w:t>S</w:t>
      </w:r>
      <w:r w:rsidR="003D3D42">
        <w:rPr>
          <w:rFonts w:ascii="Arial" w:eastAsia="Calibri" w:hAnsi="Arial"/>
          <w:szCs w:val="22"/>
          <w:lang w:eastAsia="en-US"/>
        </w:rPr>
        <w:t xml:space="preserve">e trata </w:t>
      </w:r>
      <w:r>
        <w:rPr>
          <w:rFonts w:ascii="Arial" w:eastAsia="Calibri" w:hAnsi="Arial"/>
          <w:szCs w:val="22"/>
          <w:lang w:eastAsia="en-US"/>
        </w:rPr>
        <w:t>en definitiva,</w:t>
      </w:r>
      <w:r w:rsidR="003D3D42">
        <w:rPr>
          <w:rFonts w:ascii="Arial" w:eastAsia="Calibri" w:hAnsi="Arial"/>
          <w:szCs w:val="22"/>
          <w:lang w:eastAsia="en-US"/>
        </w:rPr>
        <w:t xml:space="preserve"> </w:t>
      </w:r>
      <w:r w:rsidR="003D3D42" w:rsidRPr="0084477C">
        <w:rPr>
          <w:rFonts w:ascii="Arial" w:eastAsia="Calibri" w:hAnsi="Arial"/>
          <w:szCs w:val="22"/>
          <w:lang w:eastAsia="en-US"/>
        </w:rPr>
        <w:t xml:space="preserve">de </w:t>
      </w:r>
      <w:r w:rsidR="00B54242">
        <w:rPr>
          <w:rFonts w:ascii="Arial" w:eastAsia="Calibri" w:hAnsi="Arial"/>
          <w:szCs w:val="22"/>
          <w:lang w:eastAsia="en-US"/>
        </w:rPr>
        <w:t>influ</w:t>
      </w:r>
      <w:r w:rsidR="00E772A7">
        <w:rPr>
          <w:rFonts w:ascii="Arial" w:eastAsia="Calibri" w:hAnsi="Arial"/>
          <w:szCs w:val="22"/>
          <w:lang w:eastAsia="en-US"/>
        </w:rPr>
        <w:t>i</w:t>
      </w:r>
      <w:r w:rsidR="00B54242">
        <w:rPr>
          <w:rFonts w:ascii="Arial" w:eastAsia="Calibri" w:hAnsi="Arial"/>
          <w:szCs w:val="22"/>
          <w:lang w:eastAsia="en-US"/>
        </w:rPr>
        <w:t xml:space="preserve">r </w:t>
      </w:r>
      <w:r w:rsidR="00193A2C">
        <w:rPr>
          <w:rFonts w:ascii="Arial" w:eastAsia="Calibri" w:hAnsi="Arial"/>
          <w:szCs w:val="22"/>
          <w:lang w:eastAsia="en-US"/>
        </w:rPr>
        <w:t>políticamente</w:t>
      </w:r>
      <w:r w:rsidR="003D3D42">
        <w:rPr>
          <w:rFonts w:ascii="Arial" w:eastAsia="Calibri" w:hAnsi="Arial"/>
          <w:szCs w:val="22"/>
          <w:lang w:eastAsia="en-US"/>
        </w:rPr>
        <w:t xml:space="preserve"> para garantizar que se tom</w:t>
      </w:r>
      <w:r w:rsidR="00A82B84">
        <w:rPr>
          <w:rFonts w:ascii="Arial" w:eastAsia="Calibri" w:hAnsi="Arial"/>
          <w:szCs w:val="22"/>
          <w:lang w:eastAsia="en-US"/>
        </w:rPr>
        <w:t>e</w:t>
      </w:r>
      <w:r w:rsidR="003D3D42">
        <w:rPr>
          <w:rFonts w:ascii="Arial" w:eastAsia="Calibri" w:hAnsi="Arial"/>
          <w:szCs w:val="22"/>
          <w:lang w:eastAsia="en-US"/>
        </w:rPr>
        <w:t xml:space="preserve">n en consideración a lo largo de la ejecución del </w:t>
      </w:r>
      <w:r w:rsidR="00193A2C">
        <w:rPr>
          <w:rFonts w:ascii="Arial" w:eastAsia="Calibri" w:hAnsi="Arial"/>
          <w:szCs w:val="22"/>
          <w:lang w:eastAsia="en-US"/>
        </w:rPr>
        <w:t>P.O.</w:t>
      </w:r>
      <w:r w:rsidR="003D3D42">
        <w:rPr>
          <w:rFonts w:ascii="Arial" w:eastAsia="Calibri" w:hAnsi="Arial"/>
          <w:szCs w:val="22"/>
          <w:lang w:eastAsia="en-US"/>
        </w:rPr>
        <w:t xml:space="preserve"> los intereses, las </w:t>
      </w:r>
      <w:r w:rsidR="003D3D42" w:rsidRPr="0084477C">
        <w:rPr>
          <w:rFonts w:ascii="Arial" w:eastAsia="Calibri" w:hAnsi="Arial"/>
          <w:szCs w:val="22"/>
          <w:lang w:eastAsia="en-US"/>
        </w:rPr>
        <w:t>demandas y las necesidades</w:t>
      </w:r>
      <w:r w:rsidR="003D3D42">
        <w:rPr>
          <w:rFonts w:ascii="Arial" w:eastAsia="Calibri" w:hAnsi="Arial"/>
          <w:szCs w:val="22"/>
          <w:lang w:eastAsia="en-US"/>
        </w:rPr>
        <w:t xml:space="preserve"> de las personas con discapacidad</w:t>
      </w:r>
      <w:r w:rsidR="00B54242">
        <w:rPr>
          <w:rFonts w:ascii="Arial" w:eastAsia="Calibri" w:hAnsi="Arial"/>
          <w:szCs w:val="22"/>
          <w:lang w:eastAsia="en-US"/>
        </w:rPr>
        <w:t xml:space="preserve"> de acuerdo con la </w:t>
      </w:r>
      <w:r w:rsidR="00193A2C">
        <w:rPr>
          <w:rFonts w:ascii="Arial" w:eastAsia="Calibri" w:hAnsi="Arial"/>
          <w:szCs w:val="22"/>
          <w:lang w:eastAsia="en-US"/>
        </w:rPr>
        <w:t>legislación</w:t>
      </w:r>
      <w:r w:rsidR="00B54242">
        <w:rPr>
          <w:rFonts w:ascii="Arial" w:eastAsia="Calibri" w:hAnsi="Arial"/>
          <w:szCs w:val="22"/>
          <w:lang w:eastAsia="en-US"/>
        </w:rPr>
        <w:t xml:space="preserve"> vigente</w:t>
      </w:r>
      <w:r w:rsidR="003D3D42">
        <w:rPr>
          <w:rFonts w:ascii="Arial" w:eastAsia="Calibri" w:hAnsi="Arial"/>
          <w:szCs w:val="22"/>
          <w:lang w:eastAsia="en-US"/>
        </w:rPr>
        <w:t xml:space="preserve">. </w:t>
      </w:r>
    </w:p>
    <w:p w:rsidR="008A49F9" w:rsidRDefault="008A49F9">
      <w:pPr>
        <w:spacing w:before="0" w:after="0"/>
        <w:jc w:val="left"/>
        <w:rPr>
          <w:rFonts w:asciiTheme="majorHAnsi" w:eastAsiaTheme="majorEastAsia" w:hAnsiTheme="majorHAnsi" w:cstheme="majorBidi"/>
          <w:b/>
          <w:bCs/>
          <w:color w:val="17365D" w:themeColor="text2" w:themeShade="BF"/>
          <w:spacing w:val="5"/>
          <w:kern w:val="28"/>
          <w:sz w:val="80"/>
          <w:szCs w:val="80"/>
          <w:lang w:eastAsia="en-US"/>
        </w:rPr>
      </w:pPr>
      <w:r>
        <w:rPr>
          <w:rFonts w:asciiTheme="majorHAnsi" w:eastAsiaTheme="majorEastAsia" w:hAnsiTheme="majorHAnsi" w:cstheme="majorBidi"/>
          <w:b/>
          <w:bCs/>
          <w:color w:val="17365D" w:themeColor="text2" w:themeShade="BF"/>
          <w:spacing w:val="5"/>
          <w:kern w:val="28"/>
          <w:sz w:val="80"/>
          <w:szCs w:val="80"/>
          <w:lang w:eastAsia="en-US"/>
        </w:rPr>
        <w:br w:type="page"/>
      </w:r>
    </w:p>
    <w:p w:rsidR="00FC65C5" w:rsidRPr="00215D89" w:rsidRDefault="00215D89" w:rsidP="00B72FB0">
      <w:pPr>
        <w:keepNext/>
        <w:keepLines/>
        <w:spacing w:before="0" w:after="300"/>
        <w:ind w:right="283"/>
        <w:contextualSpacing/>
        <w:jc w:val="left"/>
        <w:rPr>
          <w:rFonts w:asciiTheme="majorHAnsi" w:eastAsiaTheme="majorEastAsia" w:hAnsiTheme="majorHAnsi" w:cstheme="majorBidi"/>
          <w:b/>
          <w:bCs/>
          <w:color w:val="17365D" w:themeColor="text2" w:themeShade="BF"/>
          <w:spacing w:val="5"/>
          <w:kern w:val="28"/>
          <w:sz w:val="80"/>
          <w:szCs w:val="80"/>
          <w:lang w:eastAsia="en-US"/>
        </w:rPr>
      </w:pPr>
      <w:bookmarkStart w:id="4" w:name="_Toc425162931"/>
      <w:r w:rsidRPr="00215D89">
        <w:rPr>
          <w:rFonts w:asciiTheme="majorHAnsi" w:eastAsiaTheme="majorEastAsia" w:hAnsiTheme="majorHAnsi" w:cstheme="majorBidi"/>
          <w:b/>
          <w:bCs/>
          <w:color w:val="17365D" w:themeColor="text2" w:themeShade="BF"/>
          <w:spacing w:val="5"/>
          <w:kern w:val="28"/>
          <w:sz w:val="80"/>
          <w:szCs w:val="80"/>
          <w:lang w:eastAsia="en-US"/>
        </w:rPr>
        <w:t>LA CREACIÓN DE LOS COMITÉS DE SEGUIMIENTO DE LOS PROGRAMAS OPERATIVOS</w:t>
      </w:r>
      <w:bookmarkEnd w:id="4"/>
    </w:p>
    <w:p w:rsidR="00FC65C5" w:rsidRPr="00FC65C5" w:rsidRDefault="00170246" w:rsidP="00B72FB0">
      <w:pPr>
        <w:spacing w:after="0"/>
        <w:ind w:left="284" w:right="1132"/>
        <w:rPr>
          <w:rFonts w:ascii="Arial" w:hAnsi="Arial" w:cs="Arial"/>
        </w:rPr>
      </w:pPr>
      <w:r>
        <w:rPr>
          <w:rFonts w:ascii="Arial" w:eastAsia="Calibri" w:hAnsi="Arial" w:cs="Arial"/>
          <w:szCs w:val="22"/>
          <w:lang w:eastAsia="en-US"/>
        </w:rPr>
        <w:t xml:space="preserve"> </w:t>
      </w:r>
    </w:p>
    <w:p w:rsidR="00FC65C5" w:rsidRPr="008A49F9" w:rsidRDefault="00215D89" w:rsidP="008A49F9">
      <w:pPr>
        <w:spacing w:before="0" w:after="0"/>
        <w:ind w:right="1132"/>
        <w:jc w:val="left"/>
        <w:rPr>
          <w:rFonts w:asciiTheme="majorHAnsi" w:eastAsiaTheme="majorEastAsia" w:hAnsiTheme="majorHAnsi" w:cstheme="majorBidi"/>
          <w:color w:val="17365D" w:themeColor="text2" w:themeShade="BF"/>
          <w:spacing w:val="5"/>
          <w:kern w:val="28"/>
          <w:sz w:val="52"/>
          <w:szCs w:val="52"/>
          <w:lang w:eastAsia="en-US"/>
        </w:rPr>
      </w:pPr>
      <w:bookmarkStart w:id="5" w:name="_Toc425162932"/>
      <w:r w:rsidRPr="00325DD1">
        <w:rPr>
          <w:rFonts w:asciiTheme="majorHAnsi" w:eastAsiaTheme="majorEastAsia" w:hAnsiTheme="majorHAnsi" w:cstheme="majorBidi"/>
          <w:b/>
          <w:bCs/>
          <w:color w:val="17365D" w:themeColor="text2" w:themeShade="BF"/>
          <w:spacing w:val="5"/>
          <w:kern w:val="28"/>
          <w:sz w:val="52"/>
          <w:szCs w:val="52"/>
          <w:lang w:eastAsia="en-US"/>
        </w:rPr>
        <w:t>¿Cuál es el pr</w:t>
      </w:r>
      <w:r>
        <w:rPr>
          <w:rFonts w:asciiTheme="majorHAnsi" w:eastAsiaTheme="majorEastAsia" w:hAnsiTheme="majorHAnsi" w:cstheme="majorBidi"/>
          <w:b/>
          <w:bCs/>
          <w:color w:val="17365D" w:themeColor="text2" w:themeShade="BF"/>
          <w:spacing w:val="5"/>
          <w:kern w:val="28"/>
          <w:sz w:val="52"/>
          <w:szCs w:val="52"/>
          <w:lang w:eastAsia="en-US"/>
        </w:rPr>
        <w:t>ocedimiento para establecer un Comité de S</w:t>
      </w:r>
      <w:r w:rsidRPr="00325DD1">
        <w:rPr>
          <w:rFonts w:asciiTheme="majorHAnsi" w:eastAsiaTheme="majorEastAsia" w:hAnsiTheme="majorHAnsi" w:cstheme="majorBidi"/>
          <w:b/>
          <w:bCs/>
          <w:color w:val="17365D" w:themeColor="text2" w:themeShade="BF"/>
          <w:spacing w:val="5"/>
          <w:kern w:val="28"/>
          <w:sz w:val="52"/>
          <w:szCs w:val="52"/>
          <w:lang w:eastAsia="en-US"/>
        </w:rPr>
        <w:t>eguimiento</w:t>
      </w:r>
      <w:r w:rsidR="00325DD1" w:rsidRPr="00325DD1">
        <w:rPr>
          <w:rFonts w:asciiTheme="majorHAnsi" w:eastAsiaTheme="majorEastAsia" w:hAnsiTheme="majorHAnsi" w:cstheme="majorBidi"/>
          <w:b/>
          <w:bCs/>
          <w:color w:val="17365D" w:themeColor="text2" w:themeShade="BF"/>
          <w:spacing w:val="5"/>
          <w:kern w:val="28"/>
          <w:sz w:val="52"/>
          <w:szCs w:val="52"/>
          <w:lang w:eastAsia="en-US"/>
        </w:rPr>
        <w:t>?</w:t>
      </w:r>
      <w:bookmarkEnd w:id="5"/>
    </w:p>
    <w:p w:rsidR="00FC65C5" w:rsidRDefault="00271F5A" w:rsidP="00B72FB0">
      <w:pPr>
        <w:spacing w:line="360" w:lineRule="auto"/>
        <w:ind w:right="141"/>
        <w:rPr>
          <w:rFonts w:ascii="Arial" w:eastAsia="Calibri" w:hAnsi="Arial"/>
          <w:szCs w:val="22"/>
          <w:lang w:eastAsia="en-US"/>
        </w:rPr>
      </w:pPr>
      <w:r>
        <w:rPr>
          <w:rFonts w:ascii="Arial" w:eastAsia="Calibri" w:hAnsi="Arial"/>
          <w:szCs w:val="22"/>
          <w:lang w:eastAsia="en-US"/>
        </w:rPr>
        <w:t>El Reglamento 1303/2013 del Parlamento Europeo y el Consejo, de 17 de diciembre de 2013,</w:t>
      </w:r>
      <w:r w:rsidR="00E772A7">
        <w:rPr>
          <w:rFonts w:ascii="Arial" w:eastAsia="Calibri" w:hAnsi="Arial"/>
          <w:szCs w:val="22"/>
          <w:lang w:eastAsia="en-US"/>
        </w:rPr>
        <w:t xml:space="preserve"> </w:t>
      </w:r>
      <w:r w:rsidRPr="00271F5A">
        <w:rPr>
          <w:rFonts w:ascii="Arial" w:eastAsia="Calibri" w:hAnsi="Arial"/>
          <w:szCs w:val="22"/>
          <w:lang w:eastAsia="en-US"/>
        </w:rPr>
        <w:t>por el</w:t>
      </w:r>
      <w:r>
        <w:rPr>
          <w:rFonts w:ascii="Arial" w:eastAsia="Calibri" w:hAnsi="Arial"/>
          <w:szCs w:val="22"/>
          <w:lang w:eastAsia="en-US"/>
        </w:rPr>
        <w:t xml:space="preserve"> </w:t>
      </w:r>
      <w:r w:rsidRPr="00271F5A">
        <w:rPr>
          <w:rFonts w:ascii="Arial" w:eastAsia="Calibri" w:hAnsi="Arial"/>
          <w:szCs w:val="22"/>
          <w:lang w:eastAsia="en-US"/>
        </w:rPr>
        <w:t>que se establecen disposiciones comunes relativas al</w:t>
      </w:r>
      <w:r>
        <w:rPr>
          <w:rFonts w:ascii="Arial" w:eastAsia="Calibri" w:hAnsi="Arial"/>
          <w:szCs w:val="22"/>
          <w:lang w:eastAsia="en-US"/>
        </w:rPr>
        <w:t xml:space="preserve"> </w:t>
      </w:r>
      <w:r w:rsidR="00E772A7">
        <w:rPr>
          <w:rFonts w:ascii="Arial" w:eastAsia="Calibri" w:hAnsi="Arial"/>
          <w:szCs w:val="22"/>
          <w:lang w:eastAsia="en-US"/>
        </w:rPr>
        <w:t xml:space="preserve">Fondo Europeo de Desarrollo Regional (FEDER), al Fondo Social </w:t>
      </w:r>
      <w:r w:rsidR="00E772A7" w:rsidRPr="00FC670A">
        <w:rPr>
          <w:rFonts w:ascii="Arial" w:eastAsia="Calibri" w:hAnsi="Arial"/>
          <w:szCs w:val="22"/>
          <w:lang w:eastAsia="en-US"/>
        </w:rPr>
        <w:t>Europeo</w:t>
      </w:r>
      <w:r w:rsidR="00FC670A" w:rsidRPr="00FC670A">
        <w:rPr>
          <w:rFonts w:ascii="Arial" w:eastAsia="Calibri" w:hAnsi="Arial"/>
          <w:szCs w:val="22"/>
          <w:lang w:eastAsia="en-US"/>
        </w:rPr>
        <w:t xml:space="preserve"> </w:t>
      </w:r>
      <w:r w:rsidR="00E772A7" w:rsidRPr="00FC670A">
        <w:rPr>
          <w:rFonts w:ascii="Arial" w:eastAsia="Calibri" w:hAnsi="Arial"/>
          <w:szCs w:val="22"/>
          <w:lang w:eastAsia="en-US"/>
        </w:rPr>
        <w:t>(</w:t>
      </w:r>
      <w:r w:rsidRPr="00FC670A">
        <w:rPr>
          <w:rFonts w:ascii="Arial" w:eastAsia="Calibri" w:hAnsi="Arial"/>
          <w:szCs w:val="22"/>
          <w:lang w:eastAsia="en-US"/>
        </w:rPr>
        <w:t>FSE</w:t>
      </w:r>
      <w:r w:rsidR="00E772A7" w:rsidRPr="00FC670A">
        <w:rPr>
          <w:rFonts w:ascii="Arial" w:eastAsia="Calibri" w:hAnsi="Arial"/>
          <w:szCs w:val="22"/>
          <w:lang w:eastAsia="en-US"/>
        </w:rPr>
        <w:t>)</w:t>
      </w:r>
      <w:r w:rsidRPr="00FC670A">
        <w:rPr>
          <w:rFonts w:ascii="Arial" w:eastAsia="Calibri" w:hAnsi="Arial"/>
          <w:szCs w:val="22"/>
          <w:lang w:eastAsia="en-US"/>
        </w:rPr>
        <w:t>,</w:t>
      </w:r>
      <w:r w:rsidRPr="00271F5A">
        <w:rPr>
          <w:rFonts w:ascii="Arial" w:eastAsia="Calibri" w:hAnsi="Arial"/>
          <w:szCs w:val="22"/>
          <w:lang w:eastAsia="en-US"/>
        </w:rPr>
        <w:t xml:space="preserve"> al </w:t>
      </w:r>
      <w:r w:rsidR="00E772A7">
        <w:rPr>
          <w:rFonts w:ascii="Arial" w:eastAsia="Calibri" w:hAnsi="Arial"/>
          <w:szCs w:val="22"/>
          <w:lang w:eastAsia="en-US"/>
        </w:rPr>
        <w:t>Fondo de Cohesión (</w:t>
      </w:r>
      <w:r w:rsidRPr="00271F5A">
        <w:rPr>
          <w:rFonts w:ascii="Arial" w:eastAsia="Calibri" w:hAnsi="Arial"/>
          <w:szCs w:val="22"/>
          <w:lang w:eastAsia="en-US"/>
        </w:rPr>
        <w:t>FC</w:t>
      </w:r>
      <w:r w:rsidR="00E772A7">
        <w:rPr>
          <w:rFonts w:ascii="Arial" w:eastAsia="Calibri" w:hAnsi="Arial"/>
          <w:szCs w:val="22"/>
          <w:lang w:eastAsia="en-US"/>
        </w:rPr>
        <w:t>)</w:t>
      </w:r>
      <w:r w:rsidRPr="00271F5A">
        <w:rPr>
          <w:rFonts w:ascii="Arial" w:eastAsia="Calibri" w:hAnsi="Arial"/>
          <w:szCs w:val="22"/>
          <w:lang w:eastAsia="en-US"/>
        </w:rPr>
        <w:t xml:space="preserve">, al </w:t>
      </w:r>
      <w:r w:rsidR="00E772A7">
        <w:rPr>
          <w:rFonts w:ascii="Arial" w:eastAsia="Calibri" w:hAnsi="Arial"/>
          <w:szCs w:val="22"/>
          <w:lang w:eastAsia="en-US"/>
        </w:rPr>
        <w:t>Fondo Europeo Agrícola de Desarrollo Rural (</w:t>
      </w:r>
      <w:r w:rsidRPr="00271F5A">
        <w:rPr>
          <w:rFonts w:ascii="Arial" w:eastAsia="Calibri" w:hAnsi="Arial"/>
          <w:szCs w:val="22"/>
          <w:lang w:eastAsia="en-US"/>
        </w:rPr>
        <w:t>F</w:t>
      </w:r>
      <w:r w:rsidR="00736E8B">
        <w:rPr>
          <w:rFonts w:ascii="Arial" w:eastAsia="Calibri" w:hAnsi="Arial"/>
          <w:szCs w:val="22"/>
          <w:lang w:eastAsia="en-US"/>
        </w:rPr>
        <w:t>EADER</w:t>
      </w:r>
      <w:r w:rsidR="00E772A7">
        <w:rPr>
          <w:rFonts w:ascii="Arial" w:eastAsia="Calibri" w:hAnsi="Arial"/>
          <w:szCs w:val="22"/>
          <w:lang w:eastAsia="en-US"/>
        </w:rPr>
        <w:t>)</w:t>
      </w:r>
      <w:r w:rsidRPr="00271F5A">
        <w:rPr>
          <w:rFonts w:ascii="Arial" w:eastAsia="Calibri" w:hAnsi="Arial"/>
          <w:szCs w:val="22"/>
          <w:lang w:eastAsia="en-US"/>
        </w:rPr>
        <w:t xml:space="preserve"> y al </w:t>
      </w:r>
      <w:r w:rsidR="00E772A7">
        <w:rPr>
          <w:rFonts w:ascii="Arial" w:eastAsia="Calibri" w:hAnsi="Arial"/>
          <w:szCs w:val="22"/>
          <w:lang w:eastAsia="en-US"/>
        </w:rPr>
        <w:t>Fondo Europeo Marítimo y de Pesca (</w:t>
      </w:r>
      <w:r w:rsidRPr="00271F5A">
        <w:rPr>
          <w:rFonts w:ascii="Arial" w:eastAsia="Calibri" w:hAnsi="Arial"/>
          <w:szCs w:val="22"/>
          <w:lang w:eastAsia="en-US"/>
        </w:rPr>
        <w:t>FEMP</w:t>
      </w:r>
      <w:r w:rsidR="00E772A7">
        <w:rPr>
          <w:rFonts w:ascii="Arial" w:eastAsia="Calibri" w:hAnsi="Arial"/>
          <w:szCs w:val="22"/>
          <w:lang w:eastAsia="en-US"/>
        </w:rPr>
        <w:t>)</w:t>
      </w:r>
      <w:r w:rsidR="001863F2">
        <w:rPr>
          <w:rStyle w:val="Refdenotaalpie"/>
          <w:rFonts w:eastAsia="Calibri"/>
          <w:szCs w:val="22"/>
          <w:lang w:eastAsia="en-US"/>
        </w:rPr>
        <w:footnoteReference w:id="1"/>
      </w:r>
      <w:r>
        <w:rPr>
          <w:rFonts w:ascii="Arial" w:eastAsia="Calibri" w:hAnsi="Arial"/>
          <w:szCs w:val="22"/>
          <w:lang w:eastAsia="en-US"/>
        </w:rPr>
        <w:t>, establece e</w:t>
      </w:r>
      <w:r w:rsidR="00800501">
        <w:rPr>
          <w:rFonts w:ascii="Arial" w:eastAsia="Calibri" w:hAnsi="Arial"/>
          <w:szCs w:val="22"/>
          <w:lang w:eastAsia="en-US"/>
        </w:rPr>
        <w:t xml:space="preserve">n su </w:t>
      </w:r>
      <w:r w:rsidR="00193A2C">
        <w:rPr>
          <w:rFonts w:ascii="Arial" w:eastAsia="Calibri" w:hAnsi="Arial"/>
          <w:szCs w:val="22"/>
          <w:lang w:eastAsia="en-US"/>
        </w:rPr>
        <w:t>art.47</w:t>
      </w:r>
      <w:r w:rsidR="00800501">
        <w:rPr>
          <w:rFonts w:ascii="Arial" w:eastAsia="Calibri" w:hAnsi="Arial"/>
          <w:szCs w:val="22"/>
          <w:lang w:eastAsia="en-US"/>
        </w:rPr>
        <w:t xml:space="preserve"> que los Comités de S</w:t>
      </w:r>
      <w:r>
        <w:rPr>
          <w:rFonts w:ascii="Arial" w:eastAsia="Calibri" w:hAnsi="Arial"/>
          <w:szCs w:val="22"/>
          <w:lang w:eastAsia="en-US"/>
        </w:rPr>
        <w:t xml:space="preserve">eguimiento de los </w:t>
      </w:r>
      <w:r w:rsidR="00193A2C">
        <w:rPr>
          <w:rFonts w:ascii="Arial" w:eastAsia="Calibri" w:hAnsi="Arial"/>
          <w:szCs w:val="22"/>
          <w:lang w:eastAsia="en-US"/>
        </w:rPr>
        <w:t>P.O.</w:t>
      </w:r>
      <w:r>
        <w:rPr>
          <w:rFonts w:ascii="Arial" w:eastAsia="Calibri" w:hAnsi="Arial"/>
          <w:szCs w:val="22"/>
          <w:lang w:eastAsia="en-US"/>
        </w:rPr>
        <w:t xml:space="preserve"> deben </w:t>
      </w:r>
      <w:r w:rsidR="00603BF0">
        <w:rPr>
          <w:rFonts w:ascii="Arial" w:eastAsia="Calibri" w:hAnsi="Arial"/>
          <w:szCs w:val="22"/>
          <w:lang w:eastAsia="en-US"/>
        </w:rPr>
        <w:t xml:space="preserve">constituirse </w:t>
      </w:r>
      <w:r w:rsidRPr="00823C9C">
        <w:rPr>
          <w:rFonts w:ascii="Arial" w:eastAsia="Calibri" w:hAnsi="Arial"/>
          <w:szCs w:val="22"/>
          <w:lang w:eastAsia="en-US"/>
        </w:rPr>
        <w:t>en los tres meses siguientes a la aprobación del Programa Operativo.</w:t>
      </w:r>
    </w:p>
    <w:p w:rsidR="00DD3795" w:rsidRPr="00DD3795" w:rsidRDefault="00DD3795" w:rsidP="00B72FB0">
      <w:pPr>
        <w:spacing w:line="360" w:lineRule="auto"/>
        <w:ind w:right="141"/>
        <w:rPr>
          <w:rFonts w:ascii="Arial" w:eastAsia="Calibri" w:hAnsi="Arial"/>
          <w:szCs w:val="22"/>
          <w:lang w:eastAsia="en-US"/>
        </w:rPr>
      </w:pPr>
      <w:r>
        <w:rPr>
          <w:rFonts w:ascii="Arial" w:eastAsia="Calibri" w:hAnsi="Arial"/>
          <w:szCs w:val="22"/>
          <w:lang w:eastAsia="en-US"/>
        </w:rPr>
        <w:t>De manera habitual, e</w:t>
      </w:r>
      <w:r w:rsidRPr="00DD3795">
        <w:rPr>
          <w:rFonts w:ascii="Arial" w:eastAsia="Calibri" w:hAnsi="Arial"/>
          <w:szCs w:val="22"/>
          <w:lang w:eastAsia="en-US"/>
        </w:rPr>
        <w:t>xiste un Comité de Seguimiento</w:t>
      </w:r>
      <w:r>
        <w:rPr>
          <w:rFonts w:ascii="Arial" w:eastAsia="Calibri" w:hAnsi="Arial"/>
          <w:szCs w:val="22"/>
          <w:lang w:eastAsia="en-US"/>
        </w:rPr>
        <w:t xml:space="preserve"> exclusivo para cada P.O. en cada Comunidad Autónoma, aunque exista la posibilidad de crear Comités compartidos para varios P.O. En ese sentido, resulta</w:t>
      </w:r>
      <w:r w:rsidR="008A49F9">
        <w:rPr>
          <w:rFonts w:ascii="Arial" w:eastAsia="Calibri" w:hAnsi="Arial"/>
          <w:szCs w:val="22"/>
          <w:lang w:eastAsia="en-US"/>
        </w:rPr>
        <w:t xml:space="preserve"> </w:t>
      </w:r>
      <w:r>
        <w:rPr>
          <w:rFonts w:ascii="Arial" w:eastAsia="Calibri" w:hAnsi="Arial"/>
          <w:szCs w:val="22"/>
          <w:lang w:eastAsia="en-US"/>
        </w:rPr>
        <w:t xml:space="preserve">de interés tener presencia en cada uno de los Comités de Seguimiento o cuanto menos, en aquellos en que pueda resultar relevante dicha participación, como es el caso de los P.O. del FSE. </w:t>
      </w:r>
    </w:p>
    <w:p w:rsidR="00442A6E" w:rsidRDefault="002C4954" w:rsidP="00B72FB0">
      <w:pPr>
        <w:spacing w:line="360" w:lineRule="auto"/>
        <w:ind w:right="141"/>
        <w:rPr>
          <w:rFonts w:ascii="Arial" w:eastAsia="Calibri" w:hAnsi="Arial"/>
          <w:szCs w:val="22"/>
          <w:lang w:eastAsia="en-US"/>
        </w:rPr>
      </w:pPr>
      <w:r>
        <w:rPr>
          <w:rFonts w:ascii="Arial" w:eastAsia="Calibri" w:hAnsi="Arial"/>
          <w:szCs w:val="22"/>
          <w:lang w:eastAsia="en-US"/>
        </w:rPr>
        <w:t>El estado miembro</w:t>
      </w:r>
      <w:r w:rsidR="00DD3795">
        <w:rPr>
          <w:rFonts w:ascii="Arial" w:eastAsia="Calibri" w:hAnsi="Arial"/>
          <w:szCs w:val="22"/>
          <w:lang w:eastAsia="en-US"/>
        </w:rPr>
        <w:t>, tal y como fija el art.48 del Reglamento 1303/2013,</w:t>
      </w:r>
      <w:r w:rsidR="008A49F9">
        <w:rPr>
          <w:rFonts w:ascii="Arial" w:eastAsia="Calibri" w:hAnsi="Arial"/>
          <w:szCs w:val="22"/>
          <w:lang w:eastAsia="en-US"/>
        </w:rPr>
        <w:t xml:space="preserve"> </w:t>
      </w:r>
      <w:r>
        <w:rPr>
          <w:rFonts w:ascii="Arial" w:eastAsia="Calibri" w:hAnsi="Arial"/>
          <w:szCs w:val="22"/>
          <w:lang w:eastAsia="en-US"/>
        </w:rPr>
        <w:t xml:space="preserve">será quien decida la composición del Comité de Seguimiento y </w:t>
      </w:r>
      <w:r w:rsidR="00442A6E">
        <w:rPr>
          <w:rFonts w:ascii="Arial" w:eastAsia="Calibri" w:hAnsi="Arial"/>
          <w:szCs w:val="22"/>
          <w:lang w:eastAsia="en-US"/>
        </w:rPr>
        <w:t xml:space="preserve">a </w:t>
      </w:r>
      <w:r>
        <w:rPr>
          <w:rFonts w:ascii="Arial" w:eastAsia="Calibri" w:hAnsi="Arial"/>
          <w:szCs w:val="22"/>
          <w:lang w:eastAsia="en-US"/>
        </w:rPr>
        <w:t xml:space="preserve">los respectivos socios nombrar un representante. Cada miembro del </w:t>
      </w:r>
      <w:r w:rsidR="00DD3795">
        <w:rPr>
          <w:rFonts w:ascii="Arial" w:eastAsia="Calibri" w:hAnsi="Arial"/>
          <w:szCs w:val="22"/>
          <w:lang w:eastAsia="en-US"/>
        </w:rPr>
        <w:t>C</w:t>
      </w:r>
      <w:r>
        <w:rPr>
          <w:rFonts w:ascii="Arial" w:eastAsia="Calibri" w:hAnsi="Arial"/>
          <w:szCs w:val="22"/>
          <w:lang w:eastAsia="en-US"/>
        </w:rPr>
        <w:t xml:space="preserve">omité podrá tener derecho o no a voto. Esto último implica que </w:t>
      </w:r>
      <w:r w:rsidR="00193A2C">
        <w:rPr>
          <w:rFonts w:ascii="Arial" w:eastAsia="Calibri" w:hAnsi="Arial"/>
          <w:szCs w:val="22"/>
          <w:lang w:eastAsia="en-US"/>
        </w:rPr>
        <w:t>existirán</w:t>
      </w:r>
      <w:r>
        <w:rPr>
          <w:rFonts w:ascii="Arial" w:eastAsia="Calibri" w:hAnsi="Arial"/>
          <w:szCs w:val="22"/>
          <w:lang w:eastAsia="en-US"/>
        </w:rPr>
        <w:t xml:space="preserve"> </w:t>
      </w:r>
      <w:r w:rsidRPr="002968D9">
        <w:rPr>
          <w:rFonts w:ascii="Arial" w:eastAsia="Calibri" w:hAnsi="Arial"/>
          <w:b/>
          <w:szCs w:val="22"/>
          <w:lang w:eastAsia="en-US"/>
        </w:rPr>
        <w:t>dos tipos de miembros</w:t>
      </w:r>
      <w:r>
        <w:rPr>
          <w:rFonts w:ascii="Arial" w:eastAsia="Calibri" w:hAnsi="Arial"/>
          <w:szCs w:val="22"/>
          <w:lang w:eastAsia="en-US"/>
        </w:rPr>
        <w:t xml:space="preserve"> en el </w:t>
      </w:r>
      <w:r w:rsidR="00193A2C">
        <w:rPr>
          <w:rFonts w:ascii="Arial" w:eastAsia="Calibri" w:hAnsi="Arial"/>
          <w:szCs w:val="22"/>
          <w:lang w:eastAsia="en-US"/>
        </w:rPr>
        <w:t>Comité</w:t>
      </w:r>
      <w:r>
        <w:rPr>
          <w:rFonts w:ascii="Arial" w:eastAsia="Calibri" w:hAnsi="Arial"/>
          <w:szCs w:val="22"/>
          <w:lang w:eastAsia="en-US"/>
        </w:rPr>
        <w:t xml:space="preserve"> de </w:t>
      </w:r>
      <w:r w:rsidR="00DD3795">
        <w:rPr>
          <w:rFonts w:ascii="Arial" w:eastAsia="Calibri" w:hAnsi="Arial"/>
          <w:szCs w:val="22"/>
          <w:lang w:eastAsia="en-US"/>
        </w:rPr>
        <w:t>S</w:t>
      </w:r>
      <w:r>
        <w:rPr>
          <w:rFonts w:ascii="Arial" w:eastAsia="Calibri" w:hAnsi="Arial"/>
          <w:szCs w:val="22"/>
          <w:lang w:eastAsia="en-US"/>
        </w:rPr>
        <w:t xml:space="preserve">eguimiento: los miembros de </w:t>
      </w:r>
      <w:r w:rsidR="00193A2C">
        <w:rPr>
          <w:rFonts w:ascii="Arial" w:eastAsia="Calibri" w:hAnsi="Arial"/>
          <w:szCs w:val="22"/>
          <w:lang w:eastAsia="en-US"/>
        </w:rPr>
        <w:t>carácter</w:t>
      </w:r>
      <w:r>
        <w:rPr>
          <w:rFonts w:ascii="Arial" w:eastAsia="Calibri" w:hAnsi="Arial"/>
          <w:szCs w:val="22"/>
          <w:lang w:eastAsia="en-US"/>
        </w:rPr>
        <w:t xml:space="preserve"> permanente</w:t>
      </w:r>
      <w:r w:rsidR="00DD3795">
        <w:rPr>
          <w:rFonts w:ascii="Arial" w:eastAsia="Calibri" w:hAnsi="Arial"/>
          <w:szCs w:val="22"/>
          <w:lang w:eastAsia="en-US"/>
        </w:rPr>
        <w:t>,</w:t>
      </w:r>
      <w:r>
        <w:rPr>
          <w:rFonts w:ascii="Arial" w:eastAsia="Calibri" w:hAnsi="Arial"/>
          <w:szCs w:val="22"/>
          <w:lang w:eastAsia="en-US"/>
        </w:rPr>
        <w:t xml:space="preserve"> con voz y voto</w:t>
      </w:r>
      <w:r w:rsidR="00DD3795">
        <w:rPr>
          <w:rFonts w:ascii="Arial" w:eastAsia="Calibri" w:hAnsi="Arial"/>
          <w:szCs w:val="22"/>
          <w:lang w:eastAsia="en-US"/>
        </w:rPr>
        <w:t>,</w:t>
      </w:r>
      <w:r>
        <w:rPr>
          <w:rFonts w:ascii="Arial" w:eastAsia="Calibri" w:hAnsi="Arial"/>
          <w:szCs w:val="22"/>
          <w:lang w:eastAsia="en-US"/>
        </w:rPr>
        <w:t xml:space="preserve"> y los miembros </w:t>
      </w:r>
      <w:r w:rsidR="00442A6E">
        <w:rPr>
          <w:rFonts w:ascii="Arial" w:eastAsia="Calibri" w:hAnsi="Arial"/>
          <w:szCs w:val="22"/>
          <w:lang w:eastAsia="en-US"/>
        </w:rPr>
        <w:t>del Comité</w:t>
      </w:r>
      <w:r w:rsidR="00184E6F">
        <w:rPr>
          <w:rFonts w:ascii="Arial" w:eastAsia="Calibri" w:hAnsi="Arial"/>
          <w:szCs w:val="22"/>
          <w:lang w:eastAsia="en-US"/>
        </w:rPr>
        <w:t xml:space="preserve"> a título consultivo</w:t>
      </w:r>
      <w:r w:rsidR="00DD3795">
        <w:rPr>
          <w:rFonts w:ascii="Arial" w:eastAsia="Calibri" w:hAnsi="Arial"/>
          <w:szCs w:val="22"/>
          <w:lang w:eastAsia="en-US"/>
        </w:rPr>
        <w:t>,</w:t>
      </w:r>
      <w:r w:rsidR="00184E6F">
        <w:rPr>
          <w:rFonts w:ascii="Arial" w:eastAsia="Calibri" w:hAnsi="Arial"/>
          <w:szCs w:val="22"/>
          <w:lang w:eastAsia="en-US"/>
        </w:rPr>
        <w:t xml:space="preserve"> con voz y sin voto.</w:t>
      </w:r>
    </w:p>
    <w:p w:rsidR="004A5E85" w:rsidRPr="00D7794A" w:rsidRDefault="002968D9" w:rsidP="00B72FB0">
      <w:pPr>
        <w:spacing w:line="360" w:lineRule="auto"/>
        <w:ind w:right="141"/>
        <w:rPr>
          <w:rFonts w:ascii="Arial" w:eastAsia="Calibri" w:hAnsi="Arial"/>
          <w:szCs w:val="22"/>
          <w:lang w:eastAsia="en-US"/>
        </w:rPr>
      </w:pPr>
      <w:r w:rsidRPr="007E6457">
        <w:rPr>
          <w:rFonts w:ascii="Arial" w:eastAsia="Calibri" w:hAnsi="Arial"/>
          <w:szCs w:val="22"/>
          <w:lang w:eastAsia="en-US"/>
        </w:rPr>
        <w:t xml:space="preserve"> </w:t>
      </w:r>
      <w:r w:rsidR="00620157" w:rsidRPr="007901EC">
        <w:rPr>
          <w:rFonts w:ascii="Arial" w:eastAsia="Calibri" w:hAnsi="Arial"/>
          <w:szCs w:val="22"/>
          <w:lang w:eastAsia="en-US"/>
        </w:rPr>
        <w:t>Teniendo en cu</w:t>
      </w:r>
      <w:r w:rsidR="00D7794A">
        <w:rPr>
          <w:rFonts w:ascii="Arial" w:eastAsia="Calibri" w:hAnsi="Arial"/>
          <w:szCs w:val="22"/>
          <w:lang w:eastAsia="en-US"/>
        </w:rPr>
        <w:t>e</w:t>
      </w:r>
      <w:r w:rsidR="00620157" w:rsidRPr="007901EC">
        <w:rPr>
          <w:rFonts w:ascii="Arial" w:eastAsia="Calibri" w:hAnsi="Arial"/>
          <w:szCs w:val="22"/>
          <w:lang w:eastAsia="en-US"/>
        </w:rPr>
        <w:t>nta lo anteriormente expuesto</w:t>
      </w:r>
      <w:r w:rsidR="00147F81">
        <w:rPr>
          <w:rFonts w:ascii="Arial" w:eastAsia="Calibri" w:hAnsi="Arial"/>
          <w:szCs w:val="22"/>
          <w:lang w:eastAsia="en-US"/>
        </w:rPr>
        <w:t xml:space="preserve"> y la función de</w:t>
      </w:r>
      <w:r w:rsidR="00620157" w:rsidRPr="007901EC">
        <w:rPr>
          <w:rFonts w:ascii="Arial" w:eastAsia="Calibri" w:hAnsi="Arial"/>
          <w:szCs w:val="22"/>
          <w:lang w:eastAsia="en-US"/>
        </w:rPr>
        <w:t xml:space="preserve"> los CERMI autonómic</w:t>
      </w:r>
      <w:r w:rsidR="00620157">
        <w:rPr>
          <w:rFonts w:ascii="Arial" w:eastAsia="Calibri" w:hAnsi="Arial"/>
          <w:szCs w:val="22"/>
          <w:lang w:eastAsia="en-US"/>
        </w:rPr>
        <w:t xml:space="preserve">os </w:t>
      </w:r>
      <w:r w:rsidR="00D7794A">
        <w:rPr>
          <w:rFonts w:ascii="Arial" w:eastAsia="Calibri" w:hAnsi="Arial"/>
          <w:szCs w:val="22"/>
          <w:lang w:eastAsia="en-US"/>
        </w:rPr>
        <w:t>podrán</w:t>
      </w:r>
      <w:r w:rsidR="00620157">
        <w:rPr>
          <w:rFonts w:ascii="Arial" w:eastAsia="Calibri" w:hAnsi="Arial"/>
          <w:szCs w:val="22"/>
          <w:lang w:eastAsia="en-US"/>
        </w:rPr>
        <w:t xml:space="preserve"> solicitar ser miembros</w:t>
      </w:r>
      <w:r w:rsidR="00620157" w:rsidRPr="007901EC">
        <w:rPr>
          <w:rFonts w:ascii="Arial" w:eastAsia="Calibri" w:hAnsi="Arial"/>
          <w:szCs w:val="22"/>
          <w:lang w:eastAsia="en-US"/>
        </w:rPr>
        <w:t xml:space="preserve"> consultivos del </w:t>
      </w:r>
      <w:r w:rsidR="00D7794A" w:rsidRPr="007901EC">
        <w:rPr>
          <w:rFonts w:ascii="Arial" w:eastAsia="Calibri" w:hAnsi="Arial"/>
          <w:szCs w:val="22"/>
          <w:lang w:eastAsia="en-US"/>
        </w:rPr>
        <w:t>Comité</w:t>
      </w:r>
      <w:r w:rsidR="00620157" w:rsidRPr="007901EC">
        <w:rPr>
          <w:rFonts w:ascii="Arial" w:eastAsia="Calibri" w:hAnsi="Arial"/>
          <w:szCs w:val="22"/>
          <w:lang w:eastAsia="en-US"/>
        </w:rPr>
        <w:t xml:space="preserve"> de Seguimiento a la autoridad </w:t>
      </w:r>
      <w:r w:rsidR="00D7794A" w:rsidRPr="007901EC">
        <w:rPr>
          <w:rFonts w:ascii="Arial" w:eastAsia="Calibri" w:hAnsi="Arial"/>
          <w:szCs w:val="22"/>
          <w:lang w:eastAsia="en-US"/>
        </w:rPr>
        <w:t>competente</w:t>
      </w:r>
      <w:r w:rsidR="00620157" w:rsidRPr="007901EC">
        <w:rPr>
          <w:rFonts w:ascii="Arial" w:eastAsia="Calibri" w:hAnsi="Arial"/>
          <w:szCs w:val="22"/>
          <w:lang w:eastAsia="en-US"/>
        </w:rPr>
        <w:t xml:space="preserve"> en cada territorio</w:t>
      </w:r>
      <w:r w:rsidR="00620157" w:rsidRPr="00D7794A">
        <w:rPr>
          <w:rFonts w:ascii="Arial" w:eastAsia="Calibri" w:hAnsi="Arial"/>
          <w:szCs w:val="22"/>
          <w:vertAlign w:val="superscript"/>
          <w:lang w:eastAsia="en-US"/>
        </w:rPr>
        <w:footnoteReference w:id="2"/>
      </w:r>
      <w:r w:rsidR="00D7794A">
        <w:rPr>
          <w:rFonts w:ascii="Arial" w:eastAsia="Calibri" w:hAnsi="Arial"/>
          <w:szCs w:val="22"/>
          <w:lang w:eastAsia="en-US"/>
        </w:rPr>
        <w:t>,</w:t>
      </w:r>
      <w:r w:rsidR="00147F81">
        <w:rPr>
          <w:rFonts w:ascii="Arial" w:eastAsia="Calibri" w:hAnsi="Arial"/>
          <w:szCs w:val="22"/>
          <w:lang w:eastAsia="en-US"/>
        </w:rPr>
        <w:t xml:space="preserve"> con el fin de obtener visibilidad del sector de la discapacidad que antes no estaba presente en los Comités de Seguimiento </w:t>
      </w:r>
    </w:p>
    <w:p w:rsidR="00D148AA" w:rsidRDefault="00170246" w:rsidP="00B72FB0">
      <w:pPr>
        <w:spacing w:line="360" w:lineRule="auto"/>
        <w:ind w:right="141"/>
        <w:rPr>
          <w:rFonts w:ascii="Arial" w:eastAsia="Calibri" w:hAnsi="Arial"/>
          <w:szCs w:val="22"/>
          <w:lang w:eastAsia="en-US"/>
        </w:rPr>
      </w:pPr>
      <w:r>
        <w:rPr>
          <w:rFonts w:ascii="Arial" w:eastAsia="Calibri" w:hAnsi="Arial"/>
          <w:szCs w:val="22"/>
          <w:lang w:eastAsia="en-US"/>
        </w:rPr>
        <w:t xml:space="preserve">En este sentido, la brevedad de los plazos establecidos reglamentariamente establece una importante limitación </w:t>
      </w:r>
      <w:r w:rsidR="00800501">
        <w:rPr>
          <w:rFonts w:ascii="Arial" w:eastAsia="Calibri" w:hAnsi="Arial"/>
          <w:szCs w:val="22"/>
          <w:lang w:eastAsia="en-US"/>
        </w:rPr>
        <w:t>a la participación de</w:t>
      </w:r>
      <w:r>
        <w:rPr>
          <w:rFonts w:ascii="Arial" w:eastAsia="Calibri" w:hAnsi="Arial"/>
          <w:szCs w:val="22"/>
          <w:lang w:eastAsia="en-US"/>
        </w:rPr>
        <w:t xml:space="preserve"> las entidades u organizaciones sociales, que deberían </w:t>
      </w:r>
      <w:r w:rsidRPr="00D7794A">
        <w:rPr>
          <w:rFonts w:ascii="Arial" w:eastAsia="Calibri" w:hAnsi="Arial"/>
          <w:szCs w:val="22"/>
          <w:lang w:eastAsia="en-US"/>
        </w:rPr>
        <w:t xml:space="preserve">realizar la aproximación a los organismos responsables con </w:t>
      </w:r>
      <w:r w:rsidR="00800501" w:rsidRPr="00D7794A">
        <w:rPr>
          <w:rFonts w:ascii="Arial" w:eastAsia="Calibri" w:hAnsi="Arial"/>
          <w:szCs w:val="22"/>
          <w:lang w:eastAsia="en-US"/>
        </w:rPr>
        <w:t>anterioridad</w:t>
      </w:r>
      <w:r w:rsidRPr="00D7794A">
        <w:rPr>
          <w:rFonts w:ascii="Arial" w:eastAsia="Calibri" w:hAnsi="Arial"/>
          <w:szCs w:val="22"/>
          <w:lang w:eastAsia="en-US"/>
        </w:rPr>
        <w:t>, de manera</w:t>
      </w:r>
      <w:r w:rsidR="00442A6E" w:rsidRPr="00D7794A">
        <w:rPr>
          <w:rFonts w:ascii="Arial" w:eastAsia="Calibri" w:hAnsi="Arial"/>
          <w:szCs w:val="22"/>
          <w:lang w:eastAsia="en-US"/>
        </w:rPr>
        <w:t xml:space="preserve"> que sean </w:t>
      </w:r>
      <w:r w:rsidR="00193A2C" w:rsidRPr="00D7794A">
        <w:rPr>
          <w:rFonts w:ascii="Arial" w:eastAsia="Calibri" w:hAnsi="Arial"/>
          <w:szCs w:val="22"/>
          <w:lang w:eastAsia="en-US"/>
        </w:rPr>
        <w:t>seleccionados</w:t>
      </w:r>
      <w:r w:rsidR="002968D9" w:rsidRPr="00D7794A">
        <w:rPr>
          <w:rFonts w:ascii="Arial" w:eastAsia="Calibri" w:hAnsi="Arial"/>
          <w:szCs w:val="22"/>
          <w:lang w:eastAsia="en-US"/>
        </w:rPr>
        <w:t xml:space="preserve"> como miembros </w:t>
      </w:r>
      <w:r w:rsidR="00C8314E">
        <w:rPr>
          <w:rFonts w:ascii="Arial" w:eastAsia="Calibri" w:hAnsi="Arial"/>
          <w:szCs w:val="22"/>
          <w:lang w:eastAsia="en-US"/>
        </w:rPr>
        <w:t xml:space="preserve">(ya bien sea consultivos o permanentes) </w:t>
      </w:r>
      <w:r w:rsidR="002968D9" w:rsidRPr="00D7794A">
        <w:rPr>
          <w:rFonts w:ascii="Arial" w:eastAsia="Calibri" w:hAnsi="Arial"/>
          <w:szCs w:val="22"/>
          <w:lang w:eastAsia="en-US"/>
        </w:rPr>
        <w:t>del Comité ,</w:t>
      </w:r>
      <w:r w:rsidR="00442A6E" w:rsidRPr="00D7794A">
        <w:rPr>
          <w:rFonts w:ascii="Arial" w:eastAsia="Calibri" w:hAnsi="Arial"/>
          <w:szCs w:val="22"/>
          <w:lang w:eastAsia="en-US"/>
        </w:rPr>
        <w:t xml:space="preserve"> y </w:t>
      </w:r>
      <w:r w:rsidRPr="00D7794A">
        <w:rPr>
          <w:rFonts w:ascii="Arial" w:eastAsia="Calibri" w:hAnsi="Arial"/>
          <w:szCs w:val="22"/>
          <w:lang w:eastAsia="en-US"/>
        </w:rPr>
        <w:t>que</w:t>
      </w:r>
      <w:r>
        <w:rPr>
          <w:rFonts w:ascii="Arial" w:eastAsia="Calibri" w:hAnsi="Arial"/>
          <w:szCs w:val="22"/>
          <w:lang w:eastAsia="en-US"/>
        </w:rPr>
        <w:t xml:space="preserve"> puedan </w:t>
      </w:r>
      <w:r w:rsidR="00800501">
        <w:rPr>
          <w:rFonts w:ascii="Arial" w:eastAsia="Calibri" w:hAnsi="Arial"/>
          <w:szCs w:val="22"/>
          <w:lang w:eastAsia="en-US"/>
        </w:rPr>
        <w:t>involucrarse</w:t>
      </w:r>
      <w:r>
        <w:rPr>
          <w:rFonts w:ascii="Arial" w:eastAsia="Calibri" w:hAnsi="Arial"/>
          <w:szCs w:val="22"/>
          <w:lang w:eastAsia="en-US"/>
        </w:rPr>
        <w:t xml:space="preserve"> activamente desde el acto constitutivo de dicho Comité. </w:t>
      </w:r>
      <w:r w:rsidR="00D148AA">
        <w:rPr>
          <w:rFonts w:ascii="Arial" w:eastAsia="Calibri" w:hAnsi="Arial"/>
          <w:szCs w:val="22"/>
          <w:lang w:eastAsia="en-US"/>
        </w:rPr>
        <w:t>Así, es importante hacer el seguimiento de cómo van cumpliéndose los plazos y adoptándose</w:t>
      </w:r>
      <w:r w:rsidR="00442A6E">
        <w:rPr>
          <w:rFonts w:ascii="Arial" w:eastAsia="Calibri" w:hAnsi="Arial"/>
          <w:szCs w:val="22"/>
          <w:lang w:eastAsia="en-US"/>
        </w:rPr>
        <w:t xml:space="preserve"> </w:t>
      </w:r>
      <w:r w:rsidR="00D148AA">
        <w:rPr>
          <w:rFonts w:ascii="Arial" w:eastAsia="Calibri" w:hAnsi="Arial"/>
          <w:szCs w:val="22"/>
          <w:lang w:eastAsia="en-US"/>
        </w:rPr>
        <w:t xml:space="preserve">las decisiones de forma que se cuente con la información </w:t>
      </w:r>
      <w:r w:rsidR="00C506A9">
        <w:rPr>
          <w:rFonts w:ascii="Arial" w:eastAsia="Calibri" w:hAnsi="Arial"/>
          <w:szCs w:val="22"/>
          <w:lang w:eastAsia="en-US"/>
        </w:rPr>
        <w:t xml:space="preserve">necesaria </w:t>
      </w:r>
      <w:r w:rsidR="00D148AA">
        <w:rPr>
          <w:rFonts w:ascii="Arial" w:eastAsia="Calibri" w:hAnsi="Arial"/>
          <w:szCs w:val="22"/>
          <w:lang w:eastAsia="en-US"/>
        </w:rPr>
        <w:t xml:space="preserve">desde que empiece a gestarse el proceso. </w:t>
      </w:r>
      <w:r w:rsidR="0028533B">
        <w:rPr>
          <w:rFonts w:ascii="Arial" w:eastAsia="Calibri" w:hAnsi="Arial"/>
          <w:szCs w:val="22"/>
          <w:lang w:eastAsia="en-US"/>
        </w:rPr>
        <w:t>Una vez constituido</w:t>
      </w:r>
      <w:r w:rsidR="00736E8B">
        <w:rPr>
          <w:rFonts w:ascii="Arial" w:eastAsia="Calibri" w:hAnsi="Arial"/>
          <w:szCs w:val="22"/>
          <w:lang w:eastAsia="en-US"/>
        </w:rPr>
        <w:t xml:space="preserve">, cada Comité ha de </w:t>
      </w:r>
      <w:r w:rsidR="0028533B">
        <w:rPr>
          <w:rFonts w:ascii="Arial" w:eastAsia="Calibri" w:hAnsi="Arial"/>
          <w:szCs w:val="22"/>
          <w:lang w:eastAsia="en-US"/>
        </w:rPr>
        <w:t xml:space="preserve">elaborar </w:t>
      </w:r>
      <w:r w:rsidR="00736E8B">
        <w:rPr>
          <w:rFonts w:ascii="Arial" w:eastAsia="Calibri" w:hAnsi="Arial"/>
          <w:szCs w:val="22"/>
          <w:lang w:eastAsia="en-US"/>
        </w:rPr>
        <w:t xml:space="preserve">un </w:t>
      </w:r>
      <w:r w:rsidR="0087347C">
        <w:rPr>
          <w:rFonts w:ascii="Arial" w:eastAsia="Calibri" w:hAnsi="Arial"/>
          <w:szCs w:val="22"/>
          <w:lang w:eastAsia="en-US"/>
        </w:rPr>
        <w:t>r</w:t>
      </w:r>
      <w:r w:rsidR="00736E8B">
        <w:rPr>
          <w:rFonts w:ascii="Arial" w:eastAsia="Calibri" w:hAnsi="Arial"/>
          <w:szCs w:val="22"/>
          <w:lang w:eastAsia="en-US"/>
        </w:rPr>
        <w:t xml:space="preserve">eglamento interno de funcionamiento y </w:t>
      </w:r>
      <w:r w:rsidR="00800501">
        <w:rPr>
          <w:rFonts w:ascii="Arial" w:eastAsia="Calibri" w:hAnsi="Arial"/>
          <w:szCs w:val="22"/>
          <w:lang w:eastAsia="en-US"/>
        </w:rPr>
        <w:t xml:space="preserve">de </w:t>
      </w:r>
      <w:r w:rsidR="00736E8B">
        <w:rPr>
          <w:rFonts w:ascii="Arial" w:eastAsia="Calibri" w:hAnsi="Arial"/>
          <w:szCs w:val="22"/>
          <w:lang w:eastAsia="en-US"/>
        </w:rPr>
        <w:t>participación</w:t>
      </w:r>
      <w:r w:rsidR="008D20E7">
        <w:rPr>
          <w:rFonts w:ascii="Arial" w:eastAsia="Calibri" w:hAnsi="Arial"/>
          <w:szCs w:val="22"/>
          <w:lang w:eastAsia="en-US"/>
        </w:rPr>
        <w:t>,</w:t>
      </w:r>
      <w:r w:rsidR="00D148AA">
        <w:rPr>
          <w:rFonts w:ascii="Arial" w:eastAsia="Calibri" w:hAnsi="Arial"/>
          <w:szCs w:val="22"/>
          <w:lang w:eastAsia="en-US"/>
        </w:rPr>
        <w:t xml:space="preserve"> que es la primera </w:t>
      </w:r>
      <w:r w:rsidR="008D20E7">
        <w:rPr>
          <w:rFonts w:ascii="Arial" w:eastAsia="Calibri" w:hAnsi="Arial"/>
          <w:szCs w:val="22"/>
          <w:lang w:eastAsia="en-US"/>
        </w:rPr>
        <w:t>de sus tareas.</w:t>
      </w:r>
    </w:p>
    <w:p w:rsidR="008A49F9" w:rsidRDefault="00800501" w:rsidP="00B72FB0">
      <w:pPr>
        <w:spacing w:line="360" w:lineRule="auto"/>
        <w:ind w:right="141"/>
        <w:rPr>
          <w:rFonts w:ascii="Arial" w:eastAsia="Calibri" w:hAnsi="Arial"/>
          <w:szCs w:val="22"/>
          <w:lang w:eastAsia="en-US"/>
        </w:rPr>
      </w:pPr>
      <w:r>
        <w:rPr>
          <w:rFonts w:ascii="Arial" w:eastAsia="Calibri" w:hAnsi="Arial"/>
          <w:szCs w:val="22"/>
          <w:lang w:eastAsia="en-US"/>
        </w:rPr>
        <w:t>Es importante participar e</w:t>
      </w:r>
      <w:r w:rsidR="00357C1E">
        <w:rPr>
          <w:rFonts w:ascii="Arial" w:eastAsia="Calibri" w:hAnsi="Arial"/>
          <w:szCs w:val="22"/>
          <w:lang w:eastAsia="en-US"/>
        </w:rPr>
        <w:t xml:space="preserve">n la negociación y redacción de dicho </w:t>
      </w:r>
      <w:r w:rsidR="008D20E7">
        <w:rPr>
          <w:rFonts w:ascii="Arial" w:eastAsia="Calibri" w:hAnsi="Arial"/>
          <w:szCs w:val="22"/>
          <w:lang w:eastAsia="en-US"/>
        </w:rPr>
        <w:t>r</w:t>
      </w:r>
      <w:r w:rsidR="00357C1E">
        <w:rPr>
          <w:rFonts w:ascii="Arial" w:eastAsia="Calibri" w:hAnsi="Arial"/>
          <w:szCs w:val="22"/>
          <w:lang w:eastAsia="en-US"/>
        </w:rPr>
        <w:t xml:space="preserve">eglamento </w:t>
      </w:r>
      <w:r>
        <w:rPr>
          <w:rFonts w:ascii="Arial" w:eastAsia="Calibri" w:hAnsi="Arial"/>
          <w:szCs w:val="22"/>
          <w:lang w:eastAsia="en-US"/>
        </w:rPr>
        <w:t>en la medida en que pueda tener alguna influencia</w:t>
      </w:r>
      <w:r w:rsidR="00357C1E">
        <w:rPr>
          <w:rFonts w:ascii="Arial" w:eastAsia="Calibri" w:hAnsi="Arial"/>
          <w:szCs w:val="22"/>
          <w:lang w:eastAsia="en-US"/>
        </w:rPr>
        <w:t xml:space="preserve"> en las normas de acceso y participación en las reuniones de seguimiento de dicho Comité. </w:t>
      </w:r>
    </w:p>
    <w:p w:rsidR="008A49F9" w:rsidRDefault="008A49F9">
      <w:pPr>
        <w:spacing w:before="0" w:after="0"/>
        <w:jc w:val="left"/>
        <w:rPr>
          <w:rFonts w:ascii="Arial" w:eastAsia="Calibri" w:hAnsi="Arial"/>
          <w:szCs w:val="22"/>
          <w:lang w:eastAsia="en-US"/>
        </w:rPr>
      </w:pPr>
      <w:r>
        <w:rPr>
          <w:rFonts w:ascii="Arial" w:eastAsia="Calibri" w:hAnsi="Arial"/>
          <w:szCs w:val="22"/>
          <w:lang w:eastAsia="en-US"/>
        </w:rPr>
        <w:br w:type="page"/>
      </w:r>
    </w:p>
    <w:p w:rsidR="000B4DD2" w:rsidRPr="00215D89" w:rsidRDefault="008A49F9" w:rsidP="00B72FB0">
      <w:pPr>
        <w:keepNext/>
        <w:keepLines/>
        <w:spacing w:before="0" w:after="300"/>
        <w:ind w:right="283"/>
        <w:contextualSpacing/>
        <w:jc w:val="left"/>
        <w:rPr>
          <w:rFonts w:asciiTheme="majorHAnsi" w:eastAsiaTheme="majorEastAsia" w:hAnsiTheme="majorHAnsi" w:cstheme="majorBidi"/>
          <w:b/>
          <w:bCs/>
          <w:color w:val="17365D" w:themeColor="text2" w:themeShade="BF"/>
          <w:spacing w:val="5"/>
          <w:kern w:val="28"/>
          <w:sz w:val="80"/>
          <w:szCs w:val="80"/>
          <w:lang w:eastAsia="en-US"/>
        </w:rPr>
      </w:pPr>
      <w:bookmarkStart w:id="6" w:name="_Toc425162933"/>
      <w:r>
        <w:rPr>
          <w:rFonts w:asciiTheme="majorHAnsi" w:eastAsiaTheme="majorEastAsia" w:hAnsiTheme="majorHAnsi" w:cstheme="majorBidi"/>
          <w:b/>
          <w:bCs/>
          <w:color w:val="17365D" w:themeColor="text2" w:themeShade="BF"/>
          <w:spacing w:val="5"/>
          <w:kern w:val="28"/>
          <w:sz w:val="80"/>
          <w:szCs w:val="80"/>
          <w:lang w:eastAsia="en-US"/>
        </w:rPr>
        <w:t>M</w:t>
      </w:r>
      <w:r w:rsidR="00215D89" w:rsidRPr="00215D89">
        <w:rPr>
          <w:rFonts w:asciiTheme="majorHAnsi" w:eastAsiaTheme="majorEastAsia" w:hAnsiTheme="majorHAnsi" w:cstheme="majorBidi"/>
          <w:b/>
          <w:bCs/>
          <w:color w:val="17365D" w:themeColor="text2" w:themeShade="BF"/>
          <w:spacing w:val="5"/>
          <w:kern w:val="28"/>
          <w:sz w:val="80"/>
          <w:szCs w:val="80"/>
          <w:lang w:eastAsia="en-US"/>
        </w:rPr>
        <w:t>IEMBROS</w:t>
      </w:r>
      <w:bookmarkEnd w:id="6"/>
    </w:p>
    <w:p w:rsidR="008A49F9" w:rsidRDefault="008A49F9" w:rsidP="008A49F9">
      <w:pPr>
        <w:rPr>
          <w:rFonts w:eastAsiaTheme="majorEastAsia"/>
          <w:kern w:val="28"/>
          <w:lang w:eastAsia="en-US"/>
        </w:rPr>
      </w:pPr>
    </w:p>
    <w:p w:rsidR="000B4DD2" w:rsidRPr="00FC65C5" w:rsidRDefault="00215D89" w:rsidP="00B72FB0">
      <w:pPr>
        <w:keepNext/>
        <w:keepLines/>
        <w:pBdr>
          <w:bottom w:val="single" w:sz="8" w:space="4" w:color="4F81BD" w:themeColor="accent1"/>
        </w:pBdr>
        <w:spacing w:before="0" w:after="0"/>
        <w:ind w:right="283"/>
        <w:contextualSpacing/>
        <w:jc w:val="left"/>
        <w:rPr>
          <w:rFonts w:asciiTheme="majorHAnsi" w:eastAsiaTheme="majorEastAsia" w:hAnsiTheme="majorHAnsi" w:cstheme="majorBidi"/>
          <w:b/>
          <w:bCs/>
          <w:color w:val="17365D" w:themeColor="text2" w:themeShade="BF"/>
          <w:spacing w:val="5"/>
          <w:kern w:val="28"/>
          <w:sz w:val="52"/>
          <w:szCs w:val="52"/>
          <w:lang w:eastAsia="en-US"/>
        </w:rPr>
      </w:pPr>
      <w:bookmarkStart w:id="7" w:name="_Toc425162934"/>
      <w:r>
        <w:rPr>
          <w:rFonts w:asciiTheme="majorHAnsi" w:eastAsiaTheme="majorEastAsia" w:hAnsiTheme="majorHAnsi" w:cstheme="majorBidi"/>
          <w:b/>
          <w:bCs/>
          <w:color w:val="17365D" w:themeColor="text2" w:themeShade="BF"/>
          <w:spacing w:val="5"/>
          <w:kern w:val="28"/>
          <w:sz w:val="52"/>
          <w:szCs w:val="52"/>
          <w:lang w:eastAsia="en-US"/>
        </w:rPr>
        <w:t>La composición de los Comités de Seguimiento</w:t>
      </w:r>
      <w:bookmarkEnd w:id="7"/>
      <w:r>
        <w:rPr>
          <w:rFonts w:asciiTheme="majorHAnsi" w:eastAsiaTheme="majorEastAsia" w:hAnsiTheme="majorHAnsi" w:cstheme="majorBidi"/>
          <w:b/>
          <w:bCs/>
          <w:color w:val="17365D" w:themeColor="text2" w:themeShade="BF"/>
          <w:spacing w:val="5"/>
          <w:kern w:val="28"/>
          <w:sz w:val="52"/>
          <w:szCs w:val="52"/>
          <w:lang w:eastAsia="en-US"/>
        </w:rPr>
        <w:t xml:space="preserve"> </w:t>
      </w:r>
    </w:p>
    <w:p w:rsidR="006F4884" w:rsidRPr="00C4103B" w:rsidRDefault="008954AC" w:rsidP="008A49F9">
      <w:pPr>
        <w:spacing w:line="360" w:lineRule="auto"/>
        <w:ind w:right="141"/>
        <w:rPr>
          <w:rFonts w:ascii="Arial" w:eastAsia="Calibri" w:hAnsi="Arial"/>
          <w:szCs w:val="22"/>
          <w:lang w:eastAsia="en-US"/>
        </w:rPr>
      </w:pPr>
      <w:r w:rsidRPr="00C4103B">
        <w:rPr>
          <w:rFonts w:ascii="Arial" w:eastAsia="Calibri" w:hAnsi="Arial"/>
          <w:szCs w:val="22"/>
          <w:lang w:eastAsia="en-US"/>
        </w:rPr>
        <w:t xml:space="preserve">El </w:t>
      </w:r>
      <w:r w:rsidR="00193A2C" w:rsidRPr="00C4103B">
        <w:rPr>
          <w:rFonts w:ascii="Arial" w:eastAsia="Calibri" w:hAnsi="Arial"/>
          <w:szCs w:val="22"/>
          <w:lang w:eastAsia="en-US"/>
        </w:rPr>
        <w:t>art. 48</w:t>
      </w:r>
      <w:r w:rsidRPr="00C4103B">
        <w:rPr>
          <w:rFonts w:ascii="Arial" w:eastAsia="Calibri" w:hAnsi="Arial"/>
          <w:szCs w:val="22"/>
          <w:lang w:eastAsia="en-US"/>
        </w:rPr>
        <w:t xml:space="preserve"> del Reglamento 1303/2013 regula que </w:t>
      </w:r>
      <w:r w:rsidR="00C63EEA">
        <w:rPr>
          <w:rFonts w:ascii="Arial" w:eastAsia="Calibri" w:hAnsi="Arial"/>
          <w:szCs w:val="22"/>
          <w:lang w:eastAsia="en-US"/>
        </w:rPr>
        <w:t>cada</w:t>
      </w:r>
      <w:r w:rsidRPr="00C4103B">
        <w:rPr>
          <w:rFonts w:ascii="Arial" w:eastAsia="Calibri" w:hAnsi="Arial"/>
          <w:szCs w:val="22"/>
          <w:lang w:eastAsia="en-US"/>
        </w:rPr>
        <w:t xml:space="preserve"> Estado Miembro </w:t>
      </w:r>
      <w:r w:rsidR="00C63EEA">
        <w:rPr>
          <w:rFonts w:ascii="Arial" w:eastAsia="Calibri" w:hAnsi="Arial"/>
          <w:szCs w:val="22"/>
          <w:lang w:eastAsia="en-US"/>
        </w:rPr>
        <w:t>decidirá</w:t>
      </w:r>
      <w:r w:rsidRPr="00C4103B">
        <w:rPr>
          <w:rFonts w:ascii="Arial" w:eastAsia="Calibri" w:hAnsi="Arial"/>
          <w:szCs w:val="22"/>
          <w:lang w:eastAsia="en-US"/>
        </w:rPr>
        <w:t xml:space="preserve"> la composición de </w:t>
      </w:r>
      <w:r w:rsidR="00F4466A" w:rsidRPr="00C4103B">
        <w:rPr>
          <w:rFonts w:ascii="Arial" w:eastAsia="Calibri" w:hAnsi="Arial"/>
          <w:szCs w:val="22"/>
          <w:lang w:eastAsia="en-US"/>
        </w:rPr>
        <w:t>los</w:t>
      </w:r>
      <w:r w:rsidRPr="00C4103B">
        <w:rPr>
          <w:rFonts w:ascii="Arial" w:eastAsia="Calibri" w:hAnsi="Arial"/>
          <w:szCs w:val="22"/>
          <w:lang w:eastAsia="en-US"/>
        </w:rPr>
        <w:t xml:space="preserve"> Comité</w:t>
      </w:r>
      <w:r w:rsidR="00F4466A" w:rsidRPr="00C4103B">
        <w:rPr>
          <w:rFonts w:ascii="Arial" w:eastAsia="Calibri" w:hAnsi="Arial"/>
          <w:szCs w:val="22"/>
          <w:lang w:eastAsia="en-US"/>
        </w:rPr>
        <w:t>s de Seguimiento</w:t>
      </w:r>
      <w:r w:rsidRPr="00C4103B">
        <w:rPr>
          <w:rFonts w:ascii="Arial" w:eastAsia="Calibri" w:hAnsi="Arial"/>
          <w:szCs w:val="22"/>
          <w:lang w:eastAsia="en-US"/>
        </w:rPr>
        <w:t xml:space="preserve">, siempre que </w:t>
      </w:r>
      <w:r w:rsidR="00F4466A" w:rsidRPr="00C4103B">
        <w:rPr>
          <w:rFonts w:ascii="Arial" w:eastAsia="Calibri" w:hAnsi="Arial"/>
          <w:szCs w:val="22"/>
          <w:lang w:eastAsia="en-US"/>
        </w:rPr>
        <w:t>estos</w:t>
      </w:r>
      <w:r w:rsidRPr="00C4103B">
        <w:rPr>
          <w:rFonts w:ascii="Arial" w:eastAsia="Calibri" w:hAnsi="Arial"/>
          <w:szCs w:val="22"/>
          <w:lang w:eastAsia="en-US"/>
        </w:rPr>
        <w:t xml:space="preserve"> cuente</w:t>
      </w:r>
      <w:r w:rsidR="00F4466A" w:rsidRPr="00C4103B">
        <w:rPr>
          <w:rFonts w:ascii="Arial" w:eastAsia="Calibri" w:hAnsi="Arial"/>
          <w:szCs w:val="22"/>
          <w:lang w:eastAsia="en-US"/>
        </w:rPr>
        <w:t>n</w:t>
      </w:r>
      <w:r w:rsidRPr="00C4103B">
        <w:rPr>
          <w:rFonts w:ascii="Arial" w:eastAsia="Calibri" w:hAnsi="Arial"/>
          <w:szCs w:val="22"/>
          <w:lang w:eastAsia="en-US"/>
        </w:rPr>
        <w:t xml:space="preserve"> con representantes de las autoridades competentes, los organismos intermedios y los representantes de los socios regulados en el </w:t>
      </w:r>
      <w:r w:rsidR="00193A2C" w:rsidRPr="00C4103B">
        <w:rPr>
          <w:rFonts w:ascii="Arial" w:eastAsia="Calibri" w:hAnsi="Arial"/>
          <w:szCs w:val="22"/>
          <w:lang w:eastAsia="en-US"/>
        </w:rPr>
        <w:t>art. 5</w:t>
      </w:r>
      <w:r w:rsidRPr="00C4103B">
        <w:rPr>
          <w:rFonts w:ascii="Arial" w:eastAsia="Calibri" w:hAnsi="Arial"/>
          <w:szCs w:val="22"/>
          <w:lang w:eastAsia="en-US"/>
        </w:rPr>
        <w:t xml:space="preserve"> relativo a la asociación</w:t>
      </w:r>
      <w:r w:rsidR="002E2905">
        <w:rPr>
          <w:rFonts w:ascii="Arial" w:eastAsia="Calibri" w:hAnsi="Arial"/>
          <w:szCs w:val="22"/>
          <w:lang w:eastAsia="en-US"/>
        </w:rPr>
        <w:t>.</w:t>
      </w:r>
      <w:r w:rsidRPr="00C4103B">
        <w:rPr>
          <w:rFonts w:ascii="Arial" w:eastAsia="Calibri" w:hAnsi="Arial"/>
          <w:szCs w:val="22"/>
          <w:lang w:eastAsia="en-US"/>
        </w:rPr>
        <w:t xml:space="preserve"> </w:t>
      </w:r>
    </w:p>
    <w:p w:rsidR="000B4DD2" w:rsidRPr="00C4103B" w:rsidRDefault="006F4884" w:rsidP="00B72FB0">
      <w:pPr>
        <w:spacing w:line="360" w:lineRule="auto"/>
        <w:ind w:right="283"/>
        <w:rPr>
          <w:rFonts w:ascii="Arial" w:eastAsia="Calibri" w:hAnsi="Arial"/>
          <w:szCs w:val="22"/>
          <w:lang w:eastAsia="en-US"/>
        </w:rPr>
      </w:pPr>
      <w:r w:rsidRPr="00C4103B">
        <w:rPr>
          <w:rFonts w:ascii="Arial" w:eastAsia="Calibri" w:hAnsi="Arial"/>
          <w:szCs w:val="22"/>
          <w:lang w:eastAsia="en-US"/>
        </w:rPr>
        <w:t>Así las cosas, los Comités de Seguimiento suelen estar compuestos de la siguiente manera:</w:t>
      </w:r>
      <w:r w:rsidR="008A49F9">
        <w:rPr>
          <w:rFonts w:ascii="Arial" w:eastAsia="Calibri" w:hAnsi="Arial"/>
          <w:szCs w:val="22"/>
          <w:lang w:eastAsia="en-US"/>
        </w:rPr>
        <w:t xml:space="preserve">  </w:t>
      </w:r>
      <w:r w:rsidR="008954AC" w:rsidRPr="00C4103B">
        <w:rPr>
          <w:rFonts w:ascii="Arial" w:eastAsia="Calibri" w:hAnsi="Arial"/>
          <w:szCs w:val="22"/>
          <w:lang w:eastAsia="en-US"/>
        </w:rPr>
        <w:t xml:space="preserve"> </w:t>
      </w:r>
    </w:p>
    <w:p w:rsidR="00C4103B" w:rsidRDefault="006F4884" w:rsidP="00B72FB0">
      <w:pPr>
        <w:pStyle w:val="Prrafodelista"/>
        <w:numPr>
          <w:ilvl w:val="0"/>
          <w:numId w:val="31"/>
        </w:numPr>
        <w:spacing w:line="360" w:lineRule="auto"/>
        <w:ind w:right="141"/>
        <w:rPr>
          <w:rFonts w:ascii="Arial" w:eastAsia="Calibri" w:hAnsi="Arial"/>
          <w:szCs w:val="22"/>
          <w:lang w:eastAsia="en-US"/>
        </w:rPr>
      </w:pPr>
      <w:r w:rsidRPr="00C4103B">
        <w:rPr>
          <w:rFonts w:ascii="Arial" w:eastAsia="Calibri" w:hAnsi="Arial"/>
          <w:szCs w:val="22"/>
          <w:lang w:eastAsia="en-US"/>
        </w:rPr>
        <w:t xml:space="preserve">En primer lugar están las </w:t>
      </w:r>
      <w:r w:rsidRPr="00C63EEA">
        <w:rPr>
          <w:rFonts w:ascii="Arial" w:eastAsia="Calibri" w:hAnsi="Arial"/>
          <w:b/>
          <w:szCs w:val="22"/>
          <w:lang w:eastAsia="en-US"/>
        </w:rPr>
        <w:t>Autoridades responsables de la gestión de cada Fondo,</w:t>
      </w:r>
      <w:r w:rsidRPr="00C4103B">
        <w:rPr>
          <w:rFonts w:ascii="Arial" w:eastAsia="Calibri" w:hAnsi="Arial"/>
          <w:szCs w:val="22"/>
          <w:lang w:eastAsia="en-US"/>
        </w:rPr>
        <w:t xml:space="preserve"> el Ministerio de Hacienda y Administraciones Públicas (MINHAP) en el caso del FEDER y la Unidad Administrativa del FSE (UAFSE) en el caso del FSE.</w:t>
      </w:r>
    </w:p>
    <w:p w:rsidR="00C4103B" w:rsidRDefault="00C63EEA" w:rsidP="00B72FB0">
      <w:pPr>
        <w:pStyle w:val="Prrafodelista"/>
        <w:numPr>
          <w:ilvl w:val="0"/>
          <w:numId w:val="31"/>
        </w:numPr>
        <w:spacing w:line="360" w:lineRule="auto"/>
        <w:ind w:right="141"/>
        <w:rPr>
          <w:rFonts w:ascii="Arial" w:eastAsia="Calibri" w:hAnsi="Arial"/>
          <w:szCs w:val="22"/>
          <w:lang w:eastAsia="en-US"/>
        </w:rPr>
      </w:pPr>
      <w:r>
        <w:rPr>
          <w:rFonts w:ascii="Arial" w:eastAsia="Calibri" w:hAnsi="Arial"/>
          <w:szCs w:val="22"/>
          <w:lang w:eastAsia="en-US"/>
        </w:rPr>
        <w:t xml:space="preserve">La </w:t>
      </w:r>
      <w:r w:rsidRPr="00C63EEA">
        <w:rPr>
          <w:rFonts w:ascii="Arial" w:eastAsia="Calibri" w:hAnsi="Arial"/>
          <w:b/>
          <w:szCs w:val="22"/>
          <w:lang w:eastAsia="en-US"/>
        </w:rPr>
        <w:t>Comisión Europea</w:t>
      </w:r>
      <w:r w:rsidRPr="00C63EEA">
        <w:rPr>
          <w:rFonts w:ascii="Arial" w:eastAsia="Calibri" w:hAnsi="Arial"/>
          <w:szCs w:val="22"/>
          <w:lang w:eastAsia="en-US"/>
        </w:rPr>
        <w:t xml:space="preserve"> </w:t>
      </w:r>
      <w:r w:rsidR="006B2455">
        <w:rPr>
          <w:rFonts w:ascii="Arial" w:eastAsia="Calibri" w:hAnsi="Arial"/>
          <w:szCs w:val="22"/>
          <w:lang w:eastAsia="en-US"/>
        </w:rPr>
        <w:t xml:space="preserve">participará </w:t>
      </w:r>
      <w:r w:rsidR="00E62B60">
        <w:rPr>
          <w:rFonts w:ascii="Arial" w:eastAsia="Calibri" w:hAnsi="Arial"/>
          <w:szCs w:val="22"/>
          <w:lang w:eastAsia="en-US"/>
        </w:rPr>
        <w:t xml:space="preserve">en los trabajos del </w:t>
      </w:r>
      <w:r w:rsidR="0088114D" w:rsidRPr="00C4103B">
        <w:rPr>
          <w:rFonts w:ascii="Arial" w:eastAsia="Calibri" w:hAnsi="Arial"/>
          <w:szCs w:val="22"/>
          <w:lang w:eastAsia="en-US"/>
        </w:rPr>
        <w:t>Comité a título consultivo.</w:t>
      </w:r>
    </w:p>
    <w:p w:rsidR="00C63EEA" w:rsidRDefault="0088114D" w:rsidP="00B72FB0">
      <w:pPr>
        <w:pStyle w:val="Prrafodelista"/>
        <w:numPr>
          <w:ilvl w:val="0"/>
          <w:numId w:val="31"/>
        </w:numPr>
        <w:spacing w:line="360" w:lineRule="auto"/>
        <w:ind w:right="141"/>
        <w:rPr>
          <w:rFonts w:ascii="Arial" w:eastAsia="Calibri" w:hAnsi="Arial"/>
          <w:szCs w:val="22"/>
          <w:lang w:eastAsia="en-US"/>
        </w:rPr>
      </w:pPr>
      <w:r w:rsidRPr="00C4103B">
        <w:rPr>
          <w:rFonts w:ascii="Arial" w:eastAsia="Calibri" w:hAnsi="Arial"/>
          <w:szCs w:val="22"/>
          <w:lang w:eastAsia="en-US"/>
        </w:rPr>
        <w:t xml:space="preserve">También cuentan con representación </w:t>
      </w:r>
      <w:r w:rsidR="00F4466A" w:rsidRPr="00C4103B">
        <w:rPr>
          <w:rFonts w:ascii="Arial" w:eastAsia="Calibri" w:hAnsi="Arial"/>
          <w:szCs w:val="22"/>
          <w:lang w:eastAsia="en-US"/>
        </w:rPr>
        <w:t xml:space="preserve">en este foro </w:t>
      </w:r>
      <w:r w:rsidRPr="00C4103B">
        <w:rPr>
          <w:rFonts w:ascii="Arial" w:eastAsia="Calibri" w:hAnsi="Arial"/>
          <w:szCs w:val="22"/>
          <w:lang w:eastAsia="en-US"/>
        </w:rPr>
        <w:t xml:space="preserve">los </w:t>
      </w:r>
      <w:r w:rsidRPr="00C63EEA">
        <w:rPr>
          <w:rFonts w:ascii="Arial" w:eastAsia="Calibri" w:hAnsi="Arial"/>
          <w:b/>
          <w:szCs w:val="22"/>
          <w:lang w:eastAsia="en-US"/>
        </w:rPr>
        <w:t>organismos intermedios</w:t>
      </w:r>
      <w:r w:rsidRPr="00C4103B">
        <w:rPr>
          <w:rFonts w:ascii="Arial" w:eastAsia="Calibri" w:hAnsi="Arial"/>
          <w:szCs w:val="22"/>
          <w:lang w:eastAsia="en-US"/>
        </w:rPr>
        <w:t xml:space="preserve"> que</w:t>
      </w:r>
      <w:r w:rsidR="00F4466A" w:rsidRPr="00C4103B">
        <w:rPr>
          <w:rFonts w:ascii="Arial" w:eastAsia="Calibri" w:hAnsi="Arial"/>
          <w:szCs w:val="22"/>
          <w:lang w:eastAsia="en-US"/>
        </w:rPr>
        <w:t>,</w:t>
      </w:r>
      <w:r w:rsidRPr="00C4103B">
        <w:rPr>
          <w:rFonts w:ascii="Arial" w:eastAsia="Calibri" w:hAnsi="Arial"/>
          <w:szCs w:val="22"/>
          <w:lang w:eastAsia="en-US"/>
        </w:rPr>
        <w:t xml:space="preserve"> por lo que respecta a los P</w:t>
      </w:r>
      <w:r w:rsidR="003D7E4E">
        <w:rPr>
          <w:rFonts w:ascii="Arial" w:eastAsia="Calibri" w:hAnsi="Arial"/>
          <w:szCs w:val="22"/>
          <w:lang w:eastAsia="en-US"/>
        </w:rPr>
        <w:t>.</w:t>
      </w:r>
      <w:r w:rsidRPr="00C4103B">
        <w:rPr>
          <w:rFonts w:ascii="Arial" w:eastAsia="Calibri" w:hAnsi="Arial"/>
          <w:szCs w:val="22"/>
          <w:lang w:eastAsia="en-US"/>
        </w:rPr>
        <w:t>O</w:t>
      </w:r>
      <w:r w:rsidR="003D7E4E">
        <w:rPr>
          <w:rFonts w:ascii="Arial" w:eastAsia="Calibri" w:hAnsi="Arial"/>
          <w:szCs w:val="22"/>
          <w:lang w:eastAsia="en-US"/>
        </w:rPr>
        <w:t>.</w:t>
      </w:r>
      <w:r w:rsidRPr="00C4103B">
        <w:rPr>
          <w:rFonts w:ascii="Arial" w:eastAsia="Calibri" w:hAnsi="Arial"/>
          <w:szCs w:val="22"/>
          <w:lang w:eastAsia="en-US"/>
        </w:rPr>
        <w:t xml:space="preserve"> regionales, son las D</w:t>
      </w:r>
      <w:r w:rsidR="006B2455">
        <w:rPr>
          <w:rFonts w:ascii="Arial" w:eastAsia="Calibri" w:hAnsi="Arial"/>
          <w:szCs w:val="22"/>
          <w:lang w:eastAsia="en-US"/>
        </w:rPr>
        <w:t>irecci</w:t>
      </w:r>
      <w:r w:rsidR="003D7E4E">
        <w:rPr>
          <w:rFonts w:ascii="Arial" w:eastAsia="Calibri" w:hAnsi="Arial"/>
          <w:szCs w:val="22"/>
          <w:lang w:eastAsia="en-US"/>
        </w:rPr>
        <w:t>ones</w:t>
      </w:r>
      <w:r w:rsidR="006B2455">
        <w:rPr>
          <w:rFonts w:ascii="Arial" w:eastAsia="Calibri" w:hAnsi="Arial"/>
          <w:szCs w:val="22"/>
          <w:lang w:eastAsia="en-US"/>
        </w:rPr>
        <w:t xml:space="preserve"> </w:t>
      </w:r>
      <w:r w:rsidRPr="00C4103B">
        <w:rPr>
          <w:rFonts w:ascii="Arial" w:eastAsia="Calibri" w:hAnsi="Arial"/>
          <w:szCs w:val="22"/>
          <w:lang w:eastAsia="en-US"/>
        </w:rPr>
        <w:t>G</w:t>
      </w:r>
      <w:r w:rsidR="006B2455">
        <w:rPr>
          <w:rFonts w:ascii="Arial" w:eastAsia="Calibri" w:hAnsi="Arial"/>
          <w:szCs w:val="22"/>
          <w:lang w:eastAsia="en-US"/>
        </w:rPr>
        <w:t>eneral</w:t>
      </w:r>
      <w:r w:rsidR="003D7E4E">
        <w:rPr>
          <w:rFonts w:ascii="Arial" w:eastAsia="Calibri" w:hAnsi="Arial"/>
          <w:szCs w:val="22"/>
          <w:lang w:eastAsia="en-US"/>
        </w:rPr>
        <w:t>es</w:t>
      </w:r>
      <w:r w:rsidR="006B2455">
        <w:rPr>
          <w:rFonts w:ascii="Arial" w:eastAsia="Calibri" w:hAnsi="Arial"/>
          <w:szCs w:val="22"/>
          <w:lang w:eastAsia="en-US"/>
        </w:rPr>
        <w:t xml:space="preserve"> (en adelante DG)</w:t>
      </w:r>
      <w:r w:rsidRPr="00C4103B">
        <w:rPr>
          <w:rFonts w:ascii="Arial" w:eastAsia="Calibri" w:hAnsi="Arial"/>
          <w:szCs w:val="22"/>
          <w:lang w:eastAsia="en-US"/>
        </w:rPr>
        <w:t xml:space="preserve"> de Fondos</w:t>
      </w:r>
      <w:r w:rsidR="006B2455">
        <w:rPr>
          <w:rFonts w:ascii="Arial" w:eastAsia="Calibri" w:hAnsi="Arial"/>
          <w:szCs w:val="22"/>
          <w:lang w:eastAsia="en-US"/>
        </w:rPr>
        <w:t xml:space="preserve"> Comunitarios</w:t>
      </w:r>
      <w:r w:rsidRPr="00C4103B">
        <w:rPr>
          <w:rFonts w:ascii="Arial" w:eastAsia="Calibri" w:hAnsi="Arial"/>
          <w:szCs w:val="22"/>
          <w:lang w:eastAsia="en-US"/>
        </w:rPr>
        <w:t xml:space="preserve"> o los organismos competentes. </w:t>
      </w:r>
      <w:r w:rsidR="00A23A7F">
        <w:rPr>
          <w:rFonts w:ascii="Arial" w:eastAsia="Calibri" w:hAnsi="Arial"/>
          <w:szCs w:val="22"/>
          <w:lang w:eastAsia="en-US"/>
        </w:rPr>
        <w:t xml:space="preserve">Los organismos intermedios son, dependiendo de sus perfiles, los encargados de programar, gestionar, coordinar, realizar el seguimiento, el control y la evaluación de los </w:t>
      </w:r>
      <w:r w:rsidR="005C096D">
        <w:rPr>
          <w:rFonts w:ascii="Arial" w:eastAsia="Calibri" w:hAnsi="Arial"/>
          <w:szCs w:val="22"/>
          <w:lang w:eastAsia="en-US"/>
        </w:rPr>
        <w:t>P.O</w:t>
      </w:r>
      <w:r w:rsidR="00A23A7F">
        <w:rPr>
          <w:rFonts w:ascii="Arial" w:eastAsia="Calibri" w:hAnsi="Arial"/>
          <w:szCs w:val="22"/>
          <w:lang w:eastAsia="en-US"/>
        </w:rPr>
        <w:t xml:space="preserve">. </w:t>
      </w:r>
    </w:p>
    <w:p w:rsidR="00C4103B" w:rsidRDefault="0088114D" w:rsidP="00B72FB0">
      <w:pPr>
        <w:pStyle w:val="Prrafodelista"/>
        <w:numPr>
          <w:ilvl w:val="0"/>
          <w:numId w:val="31"/>
        </w:numPr>
        <w:tabs>
          <w:tab w:val="left" w:pos="7513"/>
        </w:tabs>
        <w:spacing w:line="360" w:lineRule="auto"/>
        <w:ind w:right="283"/>
        <w:rPr>
          <w:rFonts w:ascii="Arial" w:eastAsia="Calibri" w:hAnsi="Arial"/>
          <w:szCs w:val="22"/>
          <w:lang w:eastAsia="en-US"/>
        </w:rPr>
      </w:pPr>
      <w:r w:rsidRPr="00A23A7F">
        <w:rPr>
          <w:rFonts w:ascii="Arial" w:eastAsia="Calibri" w:hAnsi="Arial"/>
          <w:b/>
          <w:szCs w:val="22"/>
          <w:lang w:eastAsia="en-US"/>
        </w:rPr>
        <w:t>Los organismos gestores de las actuacion</w:t>
      </w:r>
      <w:r w:rsidR="00187653" w:rsidRPr="00A23A7F">
        <w:rPr>
          <w:rFonts w:ascii="Arial" w:eastAsia="Calibri" w:hAnsi="Arial"/>
          <w:b/>
          <w:szCs w:val="22"/>
          <w:lang w:eastAsia="en-US"/>
        </w:rPr>
        <w:t>e</w:t>
      </w:r>
      <w:r w:rsidR="00F4466A" w:rsidRPr="00A23A7F">
        <w:rPr>
          <w:rFonts w:ascii="Arial" w:eastAsia="Calibri" w:hAnsi="Arial"/>
          <w:b/>
          <w:szCs w:val="22"/>
          <w:lang w:eastAsia="en-US"/>
        </w:rPr>
        <w:t>s</w:t>
      </w:r>
      <w:r w:rsidR="00F4466A" w:rsidRPr="00C4103B">
        <w:rPr>
          <w:rFonts w:ascii="Arial" w:eastAsia="Calibri" w:hAnsi="Arial"/>
          <w:szCs w:val="22"/>
          <w:lang w:eastAsia="en-US"/>
        </w:rPr>
        <w:t xml:space="preserve"> que en el caso de</w:t>
      </w:r>
      <w:r w:rsidRPr="00C4103B">
        <w:rPr>
          <w:rFonts w:ascii="Arial" w:eastAsia="Calibri" w:hAnsi="Arial"/>
          <w:szCs w:val="22"/>
          <w:lang w:eastAsia="en-US"/>
        </w:rPr>
        <w:t xml:space="preserve"> los </w:t>
      </w:r>
      <w:r w:rsidR="005C096D">
        <w:rPr>
          <w:rFonts w:ascii="Arial" w:eastAsia="Calibri" w:hAnsi="Arial"/>
          <w:szCs w:val="22"/>
          <w:lang w:eastAsia="en-US"/>
        </w:rPr>
        <w:t>P.O.</w:t>
      </w:r>
      <w:r w:rsidRPr="00C4103B">
        <w:rPr>
          <w:rFonts w:ascii="Arial" w:eastAsia="Calibri" w:hAnsi="Arial"/>
          <w:szCs w:val="22"/>
          <w:lang w:eastAsia="en-US"/>
        </w:rPr>
        <w:t xml:space="preserve"> regionales suelen ser las DG sobre las que recaen las competencias temáticas. </w:t>
      </w:r>
      <w:r w:rsidR="00A23A7F">
        <w:rPr>
          <w:rFonts w:ascii="Arial" w:eastAsia="Calibri" w:hAnsi="Arial"/>
          <w:szCs w:val="22"/>
          <w:lang w:eastAsia="en-US"/>
        </w:rPr>
        <w:t xml:space="preserve">Los organismos gestores son las organizaciones, públicas o privadas, que ejecutan las actuaciones cofinanciadas. </w:t>
      </w:r>
    </w:p>
    <w:p w:rsidR="00EB7BA7" w:rsidRPr="00EB7BA7" w:rsidRDefault="00F4466A" w:rsidP="00B72FB0">
      <w:pPr>
        <w:pStyle w:val="Prrafodelista"/>
        <w:numPr>
          <w:ilvl w:val="0"/>
          <w:numId w:val="31"/>
        </w:numPr>
        <w:tabs>
          <w:tab w:val="left" w:pos="7513"/>
        </w:tabs>
        <w:spacing w:line="360" w:lineRule="auto"/>
        <w:ind w:right="283"/>
        <w:rPr>
          <w:rFonts w:ascii="Arial" w:eastAsia="Calibri" w:hAnsi="Arial"/>
          <w:szCs w:val="22"/>
          <w:lang w:eastAsia="en-US"/>
        </w:rPr>
      </w:pPr>
      <w:r w:rsidRPr="00EB7BA7">
        <w:rPr>
          <w:rFonts w:ascii="Arial" w:eastAsia="Calibri" w:hAnsi="Arial"/>
          <w:szCs w:val="22"/>
          <w:lang w:eastAsia="en-US"/>
        </w:rPr>
        <w:t xml:space="preserve">El último gran bloque de miembros de los Comités de Seguimiento </w:t>
      </w:r>
      <w:r w:rsidR="004D7621" w:rsidRPr="00EB7BA7">
        <w:rPr>
          <w:rFonts w:ascii="Arial" w:eastAsia="Calibri" w:hAnsi="Arial"/>
          <w:szCs w:val="22"/>
          <w:lang w:eastAsia="en-US"/>
        </w:rPr>
        <w:t>es el de</w:t>
      </w:r>
      <w:r w:rsidR="004D7621" w:rsidRPr="00EB7BA7">
        <w:rPr>
          <w:rFonts w:ascii="Arial" w:eastAsia="Calibri" w:hAnsi="Arial"/>
          <w:b/>
          <w:szCs w:val="22"/>
          <w:lang w:eastAsia="en-US"/>
        </w:rPr>
        <w:t xml:space="preserve"> los </w:t>
      </w:r>
      <w:r w:rsidR="00EB7BA7" w:rsidRPr="00EB7BA7">
        <w:rPr>
          <w:rFonts w:ascii="Arial" w:eastAsia="Calibri" w:hAnsi="Arial"/>
          <w:b/>
          <w:szCs w:val="22"/>
          <w:lang w:eastAsia="en-US"/>
        </w:rPr>
        <w:t xml:space="preserve">socios en la gobernanza del </w:t>
      </w:r>
      <w:r w:rsidR="005C096D">
        <w:rPr>
          <w:rFonts w:ascii="Arial" w:eastAsia="Calibri" w:hAnsi="Arial"/>
          <w:b/>
          <w:szCs w:val="22"/>
          <w:lang w:eastAsia="en-US"/>
        </w:rPr>
        <w:t>P.O.</w:t>
      </w:r>
      <w:r w:rsidR="00EB7BA7" w:rsidRPr="00EB7BA7">
        <w:rPr>
          <w:rFonts w:ascii="Arial" w:eastAsia="Calibri" w:hAnsi="Arial"/>
          <w:b/>
          <w:szCs w:val="22"/>
          <w:lang w:eastAsia="en-US"/>
        </w:rPr>
        <w:t xml:space="preserve">, </w:t>
      </w:r>
      <w:r w:rsidR="004D7621" w:rsidRPr="00EB7BA7">
        <w:rPr>
          <w:rFonts w:ascii="Arial" w:eastAsia="Calibri" w:hAnsi="Arial"/>
          <w:szCs w:val="22"/>
          <w:lang w:eastAsia="en-US"/>
        </w:rPr>
        <w:t xml:space="preserve">tal y como regula el </w:t>
      </w:r>
      <w:r w:rsidR="00193A2C" w:rsidRPr="00EB7BA7">
        <w:rPr>
          <w:rFonts w:ascii="Arial" w:eastAsia="Calibri" w:hAnsi="Arial"/>
          <w:szCs w:val="22"/>
          <w:lang w:eastAsia="en-US"/>
        </w:rPr>
        <w:t>art. 5</w:t>
      </w:r>
      <w:r w:rsidR="004D7621" w:rsidRPr="00EB7BA7">
        <w:rPr>
          <w:rFonts w:ascii="Arial" w:eastAsia="Calibri" w:hAnsi="Arial"/>
          <w:szCs w:val="22"/>
          <w:lang w:eastAsia="en-US"/>
        </w:rPr>
        <w:t xml:space="preserve"> del Reglamento</w:t>
      </w:r>
      <w:r w:rsidR="00EB7BA7" w:rsidRPr="00EB7BA7">
        <w:rPr>
          <w:rFonts w:ascii="Arial" w:eastAsia="Calibri" w:hAnsi="Arial"/>
          <w:szCs w:val="22"/>
          <w:lang w:eastAsia="en-US"/>
        </w:rPr>
        <w:t xml:space="preserve"> ya mencionado.</w:t>
      </w:r>
      <w:r w:rsidR="008A49F9">
        <w:rPr>
          <w:rFonts w:ascii="Arial" w:eastAsia="Calibri" w:hAnsi="Arial"/>
          <w:szCs w:val="22"/>
          <w:lang w:eastAsia="en-US"/>
        </w:rPr>
        <w:t xml:space="preserve"> </w:t>
      </w:r>
      <w:r w:rsidR="00EB7BA7" w:rsidRPr="00EB7BA7">
        <w:rPr>
          <w:rFonts w:ascii="Arial" w:eastAsia="Calibri" w:hAnsi="Arial"/>
          <w:szCs w:val="22"/>
          <w:lang w:eastAsia="en-US"/>
        </w:rPr>
        <w:t xml:space="preserve">En primer lugar están los representantes </w:t>
      </w:r>
      <w:r w:rsidR="00193A2C" w:rsidRPr="00EB7BA7">
        <w:rPr>
          <w:rFonts w:ascii="Arial" w:eastAsia="Calibri" w:hAnsi="Arial"/>
          <w:szCs w:val="22"/>
          <w:lang w:eastAsia="en-US"/>
        </w:rPr>
        <w:t>de</w:t>
      </w:r>
      <w:r w:rsidR="00EB7BA7" w:rsidRPr="00EB7BA7">
        <w:rPr>
          <w:rFonts w:ascii="Arial" w:eastAsia="Calibri" w:hAnsi="Arial"/>
          <w:szCs w:val="22"/>
          <w:lang w:eastAsia="en-US"/>
        </w:rPr>
        <w:t xml:space="preserve"> las autoridades locales, los organismos responsables en cada región de la igualdad entre mujeres y hombres, las autoridades ambientales y los agentes económicos y sociales. </w:t>
      </w:r>
      <w:r w:rsidR="00073D4B">
        <w:rPr>
          <w:rFonts w:ascii="Arial" w:eastAsia="Calibri" w:hAnsi="Arial"/>
          <w:szCs w:val="22"/>
          <w:lang w:eastAsia="en-US"/>
        </w:rPr>
        <w:t xml:space="preserve">Estos organismos a veces ostentan una doble condición de socio de la gobernanza y organismo gestor y ejecutante de operaciones cofinanciadas. </w:t>
      </w:r>
    </w:p>
    <w:p w:rsidR="004D7621" w:rsidRPr="00C4103B" w:rsidRDefault="00510F6D" w:rsidP="00B72FB0">
      <w:pPr>
        <w:pStyle w:val="Prrafodelista"/>
        <w:spacing w:line="360" w:lineRule="auto"/>
        <w:ind w:left="720" w:right="283"/>
        <w:rPr>
          <w:rFonts w:ascii="Arial" w:eastAsia="Calibri" w:hAnsi="Arial"/>
          <w:szCs w:val="22"/>
          <w:lang w:eastAsia="en-US"/>
        </w:rPr>
      </w:pPr>
      <w:r>
        <w:rPr>
          <w:rFonts w:ascii="Arial" w:eastAsia="Calibri" w:hAnsi="Arial"/>
          <w:szCs w:val="22"/>
          <w:lang w:eastAsia="en-US"/>
        </w:rPr>
        <w:t xml:space="preserve">Asimismo, en este grupo heterogéneo se encuentran </w:t>
      </w:r>
      <w:r w:rsidRPr="00510F6D">
        <w:rPr>
          <w:rFonts w:ascii="Arial" w:eastAsia="Calibri" w:hAnsi="Arial"/>
          <w:b/>
          <w:szCs w:val="22"/>
          <w:lang w:eastAsia="en-US"/>
        </w:rPr>
        <w:t>las organizaciones que representan a la sociedad civil</w:t>
      </w:r>
      <w:r>
        <w:rPr>
          <w:rFonts w:ascii="Arial" w:eastAsia="Calibri" w:hAnsi="Arial"/>
          <w:szCs w:val="22"/>
          <w:lang w:eastAsia="en-US"/>
        </w:rPr>
        <w:t>, que habitualmente se aglutinan</w:t>
      </w:r>
      <w:r w:rsidR="004D7621" w:rsidRPr="00C4103B">
        <w:rPr>
          <w:rFonts w:ascii="Arial" w:eastAsia="Calibri" w:hAnsi="Arial"/>
          <w:szCs w:val="22"/>
          <w:lang w:eastAsia="en-US"/>
        </w:rPr>
        <w:t xml:space="preserve"> sectorialmente ostentando una única organización de entre ellas la representación de las demás en ese ámbito. En este sentido es fundamental que los CERMI </w:t>
      </w:r>
      <w:r w:rsidR="00CC733F">
        <w:rPr>
          <w:rFonts w:ascii="Arial" w:eastAsia="Calibri" w:hAnsi="Arial"/>
          <w:szCs w:val="22"/>
          <w:lang w:eastAsia="en-US"/>
        </w:rPr>
        <w:t xml:space="preserve">Autonómicos </w:t>
      </w:r>
      <w:r w:rsidR="004D7621" w:rsidRPr="00C4103B">
        <w:rPr>
          <w:rFonts w:ascii="Arial" w:eastAsia="Calibri" w:hAnsi="Arial"/>
          <w:szCs w:val="22"/>
          <w:lang w:eastAsia="en-US"/>
        </w:rPr>
        <w:t xml:space="preserve">den los pasos adecuados para posicionarse como </w:t>
      </w:r>
      <w:r w:rsidR="00741161" w:rsidRPr="003D7E4E">
        <w:rPr>
          <w:rFonts w:ascii="Arial" w:eastAsia="Calibri" w:hAnsi="Arial"/>
          <w:b/>
          <w:szCs w:val="22"/>
          <w:lang w:eastAsia="en-US"/>
        </w:rPr>
        <w:t>entidad de referencia</w:t>
      </w:r>
      <w:r w:rsidR="004D7621" w:rsidRPr="003D7E4E">
        <w:rPr>
          <w:rFonts w:ascii="Arial" w:eastAsia="Calibri" w:hAnsi="Arial"/>
          <w:b/>
          <w:szCs w:val="22"/>
          <w:lang w:eastAsia="en-US"/>
        </w:rPr>
        <w:t xml:space="preserve"> en materia de discapacidad</w:t>
      </w:r>
      <w:r w:rsidR="004D7621" w:rsidRPr="003D7E4E">
        <w:rPr>
          <w:rFonts w:ascii="Arial" w:eastAsia="Calibri" w:hAnsi="Arial"/>
          <w:szCs w:val="22"/>
          <w:lang w:eastAsia="en-US"/>
        </w:rPr>
        <w:t xml:space="preserve"> </w:t>
      </w:r>
      <w:r w:rsidR="004D7621" w:rsidRPr="00C4103B">
        <w:rPr>
          <w:rFonts w:ascii="Arial" w:eastAsia="Calibri" w:hAnsi="Arial"/>
          <w:szCs w:val="22"/>
          <w:lang w:eastAsia="en-US"/>
        </w:rPr>
        <w:t xml:space="preserve">dentro de los Comités y </w:t>
      </w:r>
      <w:r>
        <w:rPr>
          <w:rFonts w:ascii="Arial" w:eastAsia="Calibri" w:hAnsi="Arial"/>
          <w:szCs w:val="22"/>
          <w:lang w:eastAsia="en-US"/>
        </w:rPr>
        <w:t xml:space="preserve">principal </w:t>
      </w:r>
      <w:r w:rsidR="004D7621" w:rsidRPr="00C4103B">
        <w:rPr>
          <w:rFonts w:ascii="Arial" w:eastAsia="Calibri" w:hAnsi="Arial"/>
          <w:szCs w:val="22"/>
          <w:lang w:eastAsia="en-US"/>
        </w:rPr>
        <w:t xml:space="preserve">voz </w:t>
      </w:r>
      <w:r>
        <w:rPr>
          <w:rFonts w:ascii="Arial" w:eastAsia="Calibri" w:hAnsi="Arial"/>
          <w:szCs w:val="22"/>
          <w:lang w:eastAsia="en-US"/>
        </w:rPr>
        <w:t xml:space="preserve">con </w:t>
      </w:r>
      <w:r w:rsidR="003D7E4E">
        <w:rPr>
          <w:rFonts w:ascii="Arial" w:eastAsia="Calibri" w:hAnsi="Arial"/>
          <w:szCs w:val="22"/>
          <w:lang w:eastAsia="en-US"/>
        </w:rPr>
        <w:t>legitimidad</w:t>
      </w:r>
      <w:r w:rsidR="003D7E4E" w:rsidRPr="00C4103B">
        <w:rPr>
          <w:rFonts w:ascii="Arial" w:eastAsia="Calibri" w:hAnsi="Arial"/>
          <w:szCs w:val="22"/>
          <w:lang w:eastAsia="en-US"/>
        </w:rPr>
        <w:t xml:space="preserve"> </w:t>
      </w:r>
      <w:r w:rsidR="004D7621" w:rsidRPr="00C4103B">
        <w:rPr>
          <w:rFonts w:ascii="Arial" w:eastAsia="Calibri" w:hAnsi="Arial"/>
          <w:szCs w:val="22"/>
          <w:lang w:eastAsia="en-US"/>
        </w:rPr>
        <w:t xml:space="preserve">para velar por los intereses de las personas con discapacidad en tales instancias. </w:t>
      </w:r>
    </w:p>
    <w:p w:rsidR="004D7621" w:rsidRPr="00C4103B" w:rsidRDefault="00C1710A" w:rsidP="00B72FB0">
      <w:pPr>
        <w:spacing w:before="360" w:line="360" w:lineRule="auto"/>
        <w:ind w:right="283"/>
        <w:rPr>
          <w:rFonts w:ascii="Arial" w:eastAsia="Calibri" w:hAnsi="Arial"/>
          <w:szCs w:val="22"/>
          <w:lang w:eastAsia="en-US"/>
        </w:rPr>
      </w:pPr>
      <w:r>
        <w:rPr>
          <w:rFonts w:ascii="Arial" w:eastAsia="Calibri" w:hAnsi="Arial"/>
          <w:szCs w:val="22"/>
          <w:lang w:eastAsia="en-US"/>
        </w:rPr>
        <w:t>Por lo que se refiere en concreto a la temática de</w:t>
      </w:r>
      <w:r w:rsidR="004D7621" w:rsidRPr="00C4103B">
        <w:rPr>
          <w:rFonts w:ascii="Arial" w:eastAsia="Calibri" w:hAnsi="Arial"/>
          <w:szCs w:val="22"/>
          <w:lang w:eastAsia="en-US"/>
        </w:rPr>
        <w:t xml:space="preserve"> la inclusión social, </w:t>
      </w:r>
      <w:r>
        <w:rPr>
          <w:rFonts w:ascii="Arial" w:eastAsia="Calibri" w:hAnsi="Arial"/>
          <w:szCs w:val="22"/>
          <w:lang w:eastAsia="en-US"/>
        </w:rPr>
        <w:t>hay algunas entidades con</w:t>
      </w:r>
      <w:r w:rsidR="004D7621" w:rsidRPr="00C4103B">
        <w:rPr>
          <w:rFonts w:ascii="Arial" w:eastAsia="Calibri" w:hAnsi="Arial"/>
          <w:szCs w:val="22"/>
          <w:lang w:eastAsia="en-US"/>
        </w:rPr>
        <w:t xml:space="preserve"> una larga trayectoria y reputación en estos foros </w:t>
      </w:r>
      <w:r w:rsidR="00F96FCF" w:rsidRPr="00C4103B">
        <w:rPr>
          <w:rFonts w:ascii="Arial" w:eastAsia="Calibri" w:hAnsi="Arial"/>
          <w:szCs w:val="22"/>
          <w:lang w:eastAsia="en-US"/>
        </w:rPr>
        <w:t>y cuentan con un posicionamiento consolidado. Tal es el caso de la European Anti-Poverty Network (EAPN) España o de la Plataforma de Organizaciones de Acción Social. Es por ello que estratégicamente resulta de más interés p</w:t>
      </w:r>
      <w:r w:rsidR="00073D4B">
        <w:rPr>
          <w:rFonts w:ascii="Arial" w:eastAsia="Calibri" w:hAnsi="Arial"/>
          <w:szCs w:val="22"/>
          <w:lang w:eastAsia="en-US"/>
        </w:rPr>
        <w:t xml:space="preserve">ara los CERMI tratar de ocupar </w:t>
      </w:r>
      <w:r w:rsidR="00F96FCF" w:rsidRPr="00C4103B">
        <w:rPr>
          <w:rFonts w:ascii="Arial" w:eastAsia="Calibri" w:hAnsi="Arial"/>
          <w:szCs w:val="22"/>
          <w:lang w:eastAsia="en-US"/>
        </w:rPr>
        <w:t xml:space="preserve">el espacio, hasta ahora libre, en materia de discapacidad y apostar por la </w:t>
      </w:r>
      <w:r w:rsidR="00C56F9F">
        <w:rPr>
          <w:rFonts w:ascii="Arial" w:eastAsia="Calibri" w:hAnsi="Arial"/>
          <w:szCs w:val="22"/>
          <w:lang w:eastAsia="en-US"/>
        </w:rPr>
        <w:t>aplicación</w:t>
      </w:r>
      <w:r w:rsidR="008A49F9">
        <w:rPr>
          <w:rFonts w:ascii="Arial" w:eastAsia="Calibri" w:hAnsi="Arial"/>
          <w:szCs w:val="22"/>
          <w:lang w:eastAsia="en-US"/>
        </w:rPr>
        <w:t xml:space="preserve"> </w:t>
      </w:r>
      <w:r w:rsidR="00F96FCF" w:rsidRPr="00C4103B">
        <w:rPr>
          <w:rFonts w:ascii="Arial" w:eastAsia="Calibri" w:hAnsi="Arial"/>
          <w:szCs w:val="22"/>
          <w:lang w:eastAsia="en-US"/>
        </w:rPr>
        <w:t xml:space="preserve">en </w:t>
      </w:r>
      <w:r w:rsidR="00EA37E2">
        <w:rPr>
          <w:rFonts w:ascii="Arial" w:eastAsia="Calibri" w:hAnsi="Arial"/>
          <w:szCs w:val="22"/>
          <w:lang w:eastAsia="en-US"/>
        </w:rPr>
        <w:t xml:space="preserve">materia de </w:t>
      </w:r>
      <w:r w:rsidR="00F96FCF" w:rsidRPr="00C4103B">
        <w:rPr>
          <w:rFonts w:ascii="Arial" w:eastAsia="Calibri" w:hAnsi="Arial"/>
          <w:szCs w:val="22"/>
          <w:lang w:eastAsia="en-US"/>
        </w:rPr>
        <w:t>accesibilidad universal e igualdad de trato en los F</w:t>
      </w:r>
      <w:r w:rsidR="00C56F9F">
        <w:rPr>
          <w:rFonts w:ascii="Arial" w:eastAsia="Calibri" w:hAnsi="Arial"/>
          <w:szCs w:val="22"/>
          <w:lang w:eastAsia="en-US"/>
        </w:rPr>
        <w:t xml:space="preserve">ondos </w:t>
      </w:r>
      <w:r w:rsidR="00073D4B">
        <w:rPr>
          <w:rFonts w:ascii="Arial" w:eastAsia="Calibri" w:hAnsi="Arial"/>
          <w:szCs w:val="22"/>
          <w:lang w:eastAsia="en-US"/>
        </w:rPr>
        <w:t>EIE</w:t>
      </w:r>
      <w:r w:rsidR="00F96FCF" w:rsidRPr="00C4103B">
        <w:rPr>
          <w:rFonts w:ascii="Arial" w:eastAsia="Calibri" w:hAnsi="Arial"/>
          <w:szCs w:val="22"/>
          <w:lang w:eastAsia="en-US"/>
        </w:rPr>
        <w:t xml:space="preserve">. </w:t>
      </w:r>
    </w:p>
    <w:p w:rsidR="000B4DD2" w:rsidRDefault="000B4DD2" w:rsidP="00B72FB0">
      <w:pPr>
        <w:keepNext/>
        <w:keepLines/>
        <w:spacing w:before="0" w:after="0"/>
        <w:ind w:left="284" w:right="1132"/>
        <w:contextualSpacing/>
        <w:jc w:val="left"/>
      </w:pPr>
      <w:r>
        <w:br w:type="page"/>
        <w:t xml:space="preserve"> </w:t>
      </w:r>
    </w:p>
    <w:p w:rsidR="000B4DD2" w:rsidRPr="00215D89" w:rsidRDefault="00215D89" w:rsidP="00B72FB0">
      <w:pPr>
        <w:keepNext/>
        <w:keepLines/>
        <w:spacing w:before="0" w:after="300"/>
        <w:ind w:right="283"/>
        <w:contextualSpacing/>
        <w:jc w:val="left"/>
        <w:rPr>
          <w:rFonts w:asciiTheme="majorHAnsi" w:eastAsiaTheme="majorEastAsia" w:hAnsiTheme="majorHAnsi" w:cstheme="majorBidi"/>
          <w:b/>
          <w:bCs/>
          <w:color w:val="17365D" w:themeColor="text2" w:themeShade="BF"/>
          <w:spacing w:val="5"/>
          <w:kern w:val="28"/>
          <w:sz w:val="80"/>
          <w:szCs w:val="80"/>
          <w:lang w:eastAsia="en-US"/>
        </w:rPr>
      </w:pPr>
      <w:bookmarkStart w:id="8" w:name="_Toc425162935"/>
      <w:r w:rsidRPr="00215D89">
        <w:rPr>
          <w:rFonts w:asciiTheme="majorHAnsi" w:eastAsiaTheme="majorEastAsia" w:hAnsiTheme="majorHAnsi" w:cstheme="majorBidi"/>
          <w:b/>
          <w:bCs/>
          <w:color w:val="17365D" w:themeColor="text2" w:themeShade="BF"/>
          <w:spacing w:val="5"/>
          <w:kern w:val="28"/>
          <w:sz w:val="80"/>
          <w:szCs w:val="80"/>
          <w:lang w:eastAsia="en-US"/>
        </w:rPr>
        <w:t>FUNCIONAMIENTO Y COMPETENCIAS</w:t>
      </w:r>
      <w:bookmarkEnd w:id="8"/>
    </w:p>
    <w:p w:rsidR="000B4DD2" w:rsidRDefault="000B4DD2" w:rsidP="00B72FB0">
      <w:pPr>
        <w:spacing w:before="0" w:after="0"/>
        <w:ind w:left="284" w:right="1132"/>
        <w:jc w:val="left"/>
      </w:pPr>
    </w:p>
    <w:p w:rsidR="000B4DD2" w:rsidRPr="00FC65C5" w:rsidRDefault="00215D89" w:rsidP="00B72FB0">
      <w:pPr>
        <w:keepNext/>
        <w:keepLines/>
        <w:pBdr>
          <w:bottom w:val="single" w:sz="8" w:space="4" w:color="4F81BD" w:themeColor="accent1"/>
        </w:pBdr>
        <w:spacing w:before="0" w:after="0"/>
        <w:ind w:right="283"/>
        <w:contextualSpacing/>
        <w:jc w:val="left"/>
        <w:rPr>
          <w:rFonts w:asciiTheme="majorHAnsi" w:eastAsiaTheme="majorEastAsia" w:hAnsiTheme="majorHAnsi" w:cstheme="majorBidi"/>
          <w:b/>
          <w:bCs/>
          <w:color w:val="17365D" w:themeColor="text2" w:themeShade="BF"/>
          <w:spacing w:val="5"/>
          <w:kern w:val="28"/>
          <w:sz w:val="52"/>
          <w:szCs w:val="52"/>
          <w:lang w:eastAsia="en-US"/>
        </w:rPr>
      </w:pPr>
      <w:bookmarkStart w:id="9" w:name="_Toc425162936"/>
      <w:r>
        <w:rPr>
          <w:rFonts w:asciiTheme="majorHAnsi" w:eastAsiaTheme="majorEastAsia" w:hAnsiTheme="majorHAnsi" w:cstheme="majorBidi"/>
          <w:b/>
          <w:bCs/>
          <w:color w:val="17365D" w:themeColor="text2" w:themeShade="BF"/>
          <w:spacing w:val="5"/>
          <w:kern w:val="28"/>
          <w:sz w:val="52"/>
          <w:szCs w:val="52"/>
          <w:lang w:eastAsia="en-US"/>
        </w:rPr>
        <w:t>¿Cómo funcionan los Comités de Seguimiento?</w:t>
      </w:r>
      <w:bookmarkEnd w:id="9"/>
    </w:p>
    <w:p w:rsidR="000B4DD2" w:rsidRDefault="00C4103B" w:rsidP="00B72FB0">
      <w:pPr>
        <w:spacing w:line="360" w:lineRule="auto"/>
        <w:ind w:right="283"/>
        <w:rPr>
          <w:rFonts w:ascii="Arial" w:eastAsia="Calibri" w:hAnsi="Arial"/>
          <w:szCs w:val="22"/>
          <w:lang w:eastAsia="en-US"/>
        </w:rPr>
      </w:pPr>
      <w:r w:rsidRPr="00C4103B">
        <w:rPr>
          <w:rFonts w:ascii="Arial" w:eastAsia="Calibri" w:hAnsi="Arial"/>
          <w:szCs w:val="22"/>
          <w:lang w:eastAsia="en-US"/>
        </w:rPr>
        <w:t xml:space="preserve">Entre los aspectos principales a tener en cuenta </w:t>
      </w:r>
      <w:r>
        <w:rPr>
          <w:rFonts w:ascii="Arial" w:eastAsia="Calibri" w:hAnsi="Arial"/>
          <w:szCs w:val="22"/>
          <w:lang w:eastAsia="en-US"/>
        </w:rPr>
        <w:t xml:space="preserve">en lo que a la incidencia política se refiere está el de las competencias atribuidas a los Comités así como las funciones que reglamentariamente tienen fijadas. </w:t>
      </w:r>
    </w:p>
    <w:p w:rsidR="00ED1743" w:rsidRDefault="00C4103B" w:rsidP="00B72FB0">
      <w:pPr>
        <w:spacing w:line="360" w:lineRule="auto"/>
        <w:ind w:right="283"/>
        <w:rPr>
          <w:rFonts w:ascii="Arial" w:eastAsia="Calibri" w:hAnsi="Arial"/>
          <w:szCs w:val="22"/>
          <w:lang w:eastAsia="en-US"/>
        </w:rPr>
      </w:pPr>
      <w:r>
        <w:rPr>
          <w:rFonts w:ascii="Arial" w:eastAsia="Calibri" w:hAnsi="Arial"/>
          <w:szCs w:val="22"/>
          <w:lang w:eastAsia="en-US"/>
        </w:rPr>
        <w:t xml:space="preserve">En primer lugar, y en lo relativo a las </w:t>
      </w:r>
      <w:r w:rsidRPr="00EA37E2">
        <w:rPr>
          <w:rFonts w:ascii="Arial" w:eastAsia="Calibri" w:hAnsi="Arial"/>
          <w:b/>
          <w:szCs w:val="22"/>
          <w:lang w:eastAsia="en-US"/>
        </w:rPr>
        <w:t>funciones de los Comités</w:t>
      </w:r>
      <w:r>
        <w:rPr>
          <w:rFonts w:ascii="Arial" w:eastAsia="Calibri" w:hAnsi="Arial"/>
          <w:szCs w:val="22"/>
          <w:lang w:eastAsia="en-US"/>
        </w:rPr>
        <w:t xml:space="preserve">, está previsto que estos organismos efectúen el seguimiento de la ejecución de los </w:t>
      </w:r>
      <w:r w:rsidR="005C096D">
        <w:rPr>
          <w:rFonts w:ascii="Arial" w:eastAsia="Calibri" w:hAnsi="Arial"/>
          <w:szCs w:val="22"/>
          <w:lang w:eastAsia="en-US"/>
        </w:rPr>
        <w:t>P.O.</w:t>
      </w:r>
      <w:r>
        <w:rPr>
          <w:rFonts w:ascii="Arial" w:eastAsia="Calibri" w:hAnsi="Arial"/>
          <w:szCs w:val="22"/>
          <w:lang w:eastAsia="en-US"/>
        </w:rPr>
        <w:t xml:space="preserve"> así como de los avances que en él se produzcan. </w:t>
      </w:r>
      <w:r w:rsidR="007D04A5">
        <w:rPr>
          <w:rFonts w:ascii="Arial" w:eastAsia="Calibri" w:hAnsi="Arial"/>
          <w:szCs w:val="22"/>
          <w:lang w:eastAsia="en-US"/>
        </w:rPr>
        <w:t xml:space="preserve">El examen de la ejecución y de los avances consiste particularmente en el análisis de los datos financieros, los indicadores comunes y específicos del programa y en especial, de la consecución de los hitos y metas prefijados para el programa. </w:t>
      </w:r>
      <w:r w:rsidR="00832D3F">
        <w:rPr>
          <w:rFonts w:ascii="Arial" w:eastAsia="Calibri" w:hAnsi="Arial"/>
          <w:szCs w:val="22"/>
          <w:lang w:eastAsia="en-US"/>
        </w:rPr>
        <w:t xml:space="preserve">Como se deriva de dicha competencia, es posible proceder a modificar el marco del </w:t>
      </w:r>
      <w:r w:rsidR="005C096D">
        <w:rPr>
          <w:rFonts w:ascii="Arial" w:eastAsia="Calibri" w:hAnsi="Arial"/>
          <w:szCs w:val="22"/>
          <w:lang w:eastAsia="en-US"/>
        </w:rPr>
        <w:t>P.O.</w:t>
      </w:r>
      <w:r w:rsidR="00832D3F">
        <w:rPr>
          <w:rFonts w:ascii="Arial" w:eastAsia="Calibri" w:hAnsi="Arial"/>
          <w:szCs w:val="22"/>
          <w:lang w:eastAsia="en-US"/>
        </w:rPr>
        <w:t xml:space="preserve"> si es necesario (lo que se llama habitualmente `reprogramaciones´) para ajustar las previsiones a la realidad de la ejecución o los resultados esperados a la misma. </w:t>
      </w:r>
    </w:p>
    <w:p w:rsidR="00F82AC4" w:rsidRDefault="007D04A5" w:rsidP="00B72FB0">
      <w:pPr>
        <w:spacing w:before="0" w:line="360" w:lineRule="auto"/>
        <w:ind w:right="283"/>
        <w:rPr>
          <w:rFonts w:ascii="Arial" w:eastAsia="Calibri" w:hAnsi="Arial"/>
          <w:szCs w:val="22"/>
          <w:lang w:eastAsia="en-US"/>
        </w:rPr>
      </w:pPr>
      <w:r w:rsidRPr="007D04A5">
        <w:rPr>
          <w:rFonts w:ascii="Arial" w:eastAsia="Calibri" w:hAnsi="Arial"/>
          <w:szCs w:val="22"/>
          <w:lang w:eastAsia="en-US"/>
        </w:rPr>
        <w:t>Al Comité de Seguimiento le corresponde asimismo</w:t>
      </w:r>
      <w:r>
        <w:rPr>
          <w:rFonts w:ascii="Arial" w:eastAsia="Calibri" w:hAnsi="Arial"/>
          <w:szCs w:val="22"/>
          <w:lang w:eastAsia="en-US"/>
        </w:rPr>
        <w:t xml:space="preserve">, tal y como establece el </w:t>
      </w:r>
      <w:r w:rsidR="00193A2C">
        <w:rPr>
          <w:rFonts w:ascii="Arial" w:eastAsia="Calibri" w:hAnsi="Arial"/>
          <w:szCs w:val="22"/>
          <w:lang w:eastAsia="en-US"/>
        </w:rPr>
        <w:t>art. 110</w:t>
      </w:r>
      <w:r>
        <w:rPr>
          <w:rFonts w:ascii="Arial" w:eastAsia="Calibri" w:hAnsi="Arial"/>
          <w:szCs w:val="22"/>
          <w:lang w:eastAsia="en-US"/>
        </w:rPr>
        <w:t xml:space="preserve"> del Reglamento</w:t>
      </w:r>
      <w:r w:rsidR="00C56F9F">
        <w:rPr>
          <w:rFonts w:ascii="Arial" w:eastAsia="Calibri" w:hAnsi="Arial"/>
          <w:szCs w:val="22"/>
          <w:lang w:eastAsia="en-US"/>
        </w:rPr>
        <w:t xml:space="preserve"> 1303/2013</w:t>
      </w:r>
      <w:r w:rsidR="00D8241A">
        <w:rPr>
          <w:rFonts w:ascii="Arial" w:eastAsia="Calibri" w:hAnsi="Arial"/>
          <w:szCs w:val="22"/>
          <w:lang w:eastAsia="en-US"/>
        </w:rPr>
        <w:t xml:space="preserve">, la revisión en concreto de aspectos </w:t>
      </w:r>
      <w:r w:rsidR="00EA37E2">
        <w:rPr>
          <w:rFonts w:ascii="Arial" w:eastAsia="Calibri" w:hAnsi="Arial"/>
          <w:szCs w:val="22"/>
          <w:lang w:eastAsia="en-US"/>
        </w:rPr>
        <w:t>tales como la aplicación de la E</w:t>
      </w:r>
      <w:r w:rsidR="00D8241A">
        <w:rPr>
          <w:rFonts w:ascii="Arial" w:eastAsia="Calibri" w:hAnsi="Arial"/>
          <w:szCs w:val="22"/>
          <w:lang w:eastAsia="en-US"/>
        </w:rPr>
        <w:t>strategia de comunicación</w:t>
      </w:r>
      <w:r>
        <w:rPr>
          <w:rFonts w:ascii="Arial" w:eastAsia="Calibri" w:hAnsi="Arial"/>
          <w:szCs w:val="22"/>
          <w:lang w:eastAsia="en-US"/>
        </w:rPr>
        <w:t xml:space="preserve"> </w:t>
      </w:r>
      <w:r w:rsidR="00D8241A">
        <w:rPr>
          <w:rFonts w:ascii="Arial" w:eastAsia="Calibri" w:hAnsi="Arial"/>
          <w:szCs w:val="22"/>
          <w:lang w:eastAsia="en-US"/>
        </w:rPr>
        <w:t xml:space="preserve">y específicamente de las acciones encaminadas a promover la igualdad de oportunidades y la no discriminación, incluida la accesibilidad de las personas con discapacidad. </w:t>
      </w:r>
    </w:p>
    <w:p w:rsidR="00F82AC4" w:rsidRDefault="00EA37E2" w:rsidP="00B72FB0">
      <w:pPr>
        <w:spacing w:line="360" w:lineRule="auto"/>
        <w:ind w:right="283"/>
        <w:rPr>
          <w:rFonts w:ascii="Arial" w:eastAsia="Calibri" w:hAnsi="Arial"/>
          <w:szCs w:val="22"/>
          <w:lang w:eastAsia="en-US"/>
        </w:rPr>
      </w:pPr>
      <w:r>
        <w:rPr>
          <w:rFonts w:ascii="Arial" w:eastAsia="Calibri" w:hAnsi="Arial"/>
          <w:szCs w:val="22"/>
          <w:lang w:eastAsia="en-US"/>
        </w:rPr>
        <w:t>En este sentido, el Re</w:t>
      </w:r>
      <w:r w:rsidR="00D8241A">
        <w:rPr>
          <w:rFonts w:ascii="Arial" w:eastAsia="Calibri" w:hAnsi="Arial"/>
          <w:szCs w:val="22"/>
          <w:lang w:eastAsia="en-US"/>
        </w:rPr>
        <w:t xml:space="preserve">glamento ha </w:t>
      </w:r>
      <w:r w:rsidR="001B533C">
        <w:rPr>
          <w:rFonts w:ascii="Arial" w:eastAsia="Calibri" w:hAnsi="Arial"/>
          <w:szCs w:val="22"/>
          <w:u w:val="single"/>
          <w:lang w:eastAsia="en-US"/>
        </w:rPr>
        <w:t>recogi</w:t>
      </w:r>
      <w:r w:rsidR="001B533C" w:rsidRPr="00DE01FF">
        <w:rPr>
          <w:rFonts w:ascii="Arial" w:eastAsia="Calibri" w:hAnsi="Arial"/>
          <w:szCs w:val="22"/>
          <w:u w:val="single"/>
          <w:lang w:eastAsia="en-US"/>
        </w:rPr>
        <w:t xml:space="preserve">do </w:t>
      </w:r>
      <w:r w:rsidR="00D8241A" w:rsidRPr="00DE01FF">
        <w:rPr>
          <w:rFonts w:ascii="Arial" w:eastAsia="Calibri" w:hAnsi="Arial"/>
          <w:szCs w:val="22"/>
          <w:u w:val="single"/>
          <w:lang w:eastAsia="en-US"/>
        </w:rPr>
        <w:t>explícitamente la vigilancia de la aplicación del principio de igualdad de trato y de accesibilidad universal a las actuaciones ejecutadas en el contexto de los P</w:t>
      </w:r>
      <w:r w:rsidR="001B533C">
        <w:rPr>
          <w:rFonts w:ascii="Arial" w:eastAsia="Calibri" w:hAnsi="Arial"/>
          <w:szCs w:val="22"/>
          <w:u w:val="single"/>
          <w:lang w:eastAsia="en-US"/>
        </w:rPr>
        <w:t>.</w:t>
      </w:r>
      <w:r w:rsidR="00D8241A" w:rsidRPr="00DE01FF">
        <w:rPr>
          <w:rFonts w:ascii="Arial" w:eastAsia="Calibri" w:hAnsi="Arial"/>
          <w:szCs w:val="22"/>
          <w:u w:val="single"/>
          <w:lang w:eastAsia="en-US"/>
        </w:rPr>
        <w:t>O</w:t>
      </w:r>
      <w:r w:rsidR="001B533C">
        <w:rPr>
          <w:rFonts w:ascii="Arial" w:eastAsia="Calibri" w:hAnsi="Arial"/>
          <w:szCs w:val="22"/>
          <w:u w:val="single"/>
          <w:lang w:eastAsia="en-US"/>
        </w:rPr>
        <w:t>.</w:t>
      </w:r>
      <w:r w:rsidR="00D8241A" w:rsidRPr="00DE01FF">
        <w:rPr>
          <w:rFonts w:ascii="Arial" w:eastAsia="Calibri" w:hAnsi="Arial"/>
          <w:szCs w:val="22"/>
          <w:u w:val="single"/>
          <w:lang w:eastAsia="en-US"/>
        </w:rPr>
        <w:t xml:space="preserve"> 2014-2020</w:t>
      </w:r>
      <w:r w:rsidR="00D8241A">
        <w:rPr>
          <w:rFonts w:ascii="Arial" w:eastAsia="Calibri" w:hAnsi="Arial"/>
          <w:szCs w:val="22"/>
          <w:lang w:eastAsia="en-US"/>
        </w:rPr>
        <w:t xml:space="preserve">, </w:t>
      </w:r>
      <w:r w:rsidR="00D02803">
        <w:rPr>
          <w:rFonts w:ascii="Arial" w:eastAsia="Calibri" w:hAnsi="Arial"/>
          <w:szCs w:val="22"/>
          <w:lang w:eastAsia="en-US"/>
        </w:rPr>
        <w:t xml:space="preserve">lo que supone </w:t>
      </w:r>
      <w:r w:rsidR="00FF423A">
        <w:rPr>
          <w:rFonts w:ascii="Arial" w:eastAsia="Calibri" w:hAnsi="Arial"/>
          <w:szCs w:val="22"/>
          <w:lang w:eastAsia="en-US"/>
        </w:rPr>
        <w:t xml:space="preserve">su obligatorio cumplimiento y la </w:t>
      </w:r>
      <w:r w:rsidR="00D02803">
        <w:rPr>
          <w:rFonts w:ascii="Arial" w:eastAsia="Calibri" w:hAnsi="Arial"/>
          <w:szCs w:val="22"/>
          <w:lang w:eastAsia="en-US"/>
        </w:rPr>
        <w:t>asunción, en</w:t>
      </w:r>
      <w:r w:rsidR="00FF423A">
        <w:rPr>
          <w:rFonts w:ascii="Arial" w:eastAsia="Calibri" w:hAnsi="Arial"/>
          <w:szCs w:val="22"/>
          <w:lang w:eastAsia="en-US"/>
        </w:rPr>
        <w:t xml:space="preserve"> el marco de los Fondos EIE, de unos principios ya consagrados por nuestro ordenamiento jurídico. Además, facilita el </w:t>
      </w:r>
      <w:r w:rsidR="00D8241A">
        <w:rPr>
          <w:rFonts w:ascii="Arial" w:eastAsia="Calibri" w:hAnsi="Arial"/>
          <w:szCs w:val="22"/>
          <w:lang w:eastAsia="en-US"/>
        </w:rPr>
        <w:t xml:space="preserve">rol que </w:t>
      </w:r>
      <w:r w:rsidR="001B533C">
        <w:rPr>
          <w:rFonts w:ascii="Arial" w:eastAsia="Calibri" w:hAnsi="Arial"/>
          <w:szCs w:val="22"/>
          <w:lang w:eastAsia="en-US"/>
        </w:rPr>
        <w:t>los CERMI autonómicos</w:t>
      </w:r>
      <w:r w:rsidR="00871C8D">
        <w:rPr>
          <w:rFonts w:ascii="Arial" w:eastAsia="Calibri" w:hAnsi="Arial"/>
          <w:szCs w:val="22"/>
          <w:lang w:eastAsia="en-US"/>
        </w:rPr>
        <w:t xml:space="preserve"> pueden jugar en estos foros. </w:t>
      </w:r>
    </w:p>
    <w:p w:rsidR="008A49F9" w:rsidRDefault="008A49F9" w:rsidP="008A49F9">
      <w:pPr>
        <w:rPr>
          <w:rFonts w:eastAsiaTheme="majorEastAsia"/>
          <w:kern w:val="28"/>
          <w:lang w:eastAsia="en-US"/>
        </w:rPr>
      </w:pPr>
      <w:bookmarkStart w:id="10" w:name="_Toc425162937"/>
    </w:p>
    <w:p w:rsidR="00F82AC4" w:rsidRPr="00FC65C5" w:rsidRDefault="00215D89" w:rsidP="008A49F9">
      <w:pPr>
        <w:keepNext/>
        <w:keepLines/>
        <w:pBdr>
          <w:bottom w:val="single" w:sz="8" w:space="4" w:color="4F81BD" w:themeColor="accent1"/>
        </w:pBdr>
        <w:spacing w:before="360" w:after="360"/>
        <w:ind w:right="284"/>
        <w:contextualSpacing/>
        <w:jc w:val="left"/>
        <w:rPr>
          <w:rFonts w:asciiTheme="majorHAnsi" w:eastAsiaTheme="majorEastAsia" w:hAnsiTheme="majorHAnsi" w:cstheme="majorBidi"/>
          <w:b/>
          <w:bCs/>
          <w:color w:val="17365D" w:themeColor="text2" w:themeShade="BF"/>
          <w:spacing w:val="5"/>
          <w:kern w:val="28"/>
          <w:sz w:val="52"/>
          <w:szCs w:val="52"/>
          <w:lang w:eastAsia="en-US"/>
        </w:rPr>
      </w:pPr>
      <w:r>
        <w:rPr>
          <w:rFonts w:asciiTheme="majorHAnsi" w:eastAsiaTheme="majorEastAsia" w:hAnsiTheme="majorHAnsi" w:cstheme="majorBidi"/>
          <w:b/>
          <w:bCs/>
          <w:color w:val="17365D" w:themeColor="text2" w:themeShade="BF"/>
          <w:spacing w:val="5"/>
          <w:kern w:val="28"/>
          <w:sz w:val="52"/>
          <w:szCs w:val="52"/>
          <w:lang w:eastAsia="en-US"/>
        </w:rPr>
        <w:t>Modus operandi</w:t>
      </w:r>
      <w:bookmarkEnd w:id="10"/>
    </w:p>
    <w:p w:rsidR="00693575" w:rsidRPr="008A49F9" w:rsidRDefault="00871C8D" w:rsidP="008A49F9">
      <w:pPr>
        <w:spacing w:before="360" w:line="360" w:lineRule="auto"/>
        <w:ind w:right="284"/>
        <w:rPr>
          <w:rFonts w:ascii="Arial" w:eastAsia="Calibri" w:hAnsi="Arial"/>
          <w:szCs w:val="22"/>
          <w:lang w:eastAsia="en-US"/>
        </w:rPr>
      </w:pPr>
      <w:r w:rsidRPr="008A49F9">
        <w:rPr>
          <w:rFonts w:ascii="Arial" w:eastAsia="Calibri" w:hAnsi="Arial"/>
          <w:szCs w:val="22"/>
          <w:lang w:eastAsia="en-US"/>
        </w:rPr>
        <w:t>En lo que respecta a la forma de organización y a los procedimien</w:t>
      </w:r>
      <w:r w:rsidR="00693575" w:rsidRPr="008A49F9">
        <w:rPr>
          <w:rFonts w:ascii="Arial" w:eastAsia="Calibri" w:hAnsi="Arial"/>
          <w:szCs w:val="22"/>
          <w:lang w:eastAsia="en-US"/>
        </w:rPr>
        <w:t xml:space="preserve">tos de actuación, los Comités </w:t>
      </w:r>
      <w:r w:rsidR="0026371D" w:rsidRPr="008A49F9">
        <w:rPr>
          <w:rFonts w:ascii="Arial" w:eastAsia="Calibri" w:hAnsi="Arial"/>
          <w:szCs w:val="22"/>
          <w:lang w:eastAsia="en-US"/>
        </w:rPr>
        <w:t xml:space="preserve">han de reunirse como mínimo una vez al año, de acuerdo con lo establecido en el art.49 del Reglamento 1303/2013 </w:t>
      </w:r>
      <w:r w:rsidR="00693575" w:rsidRPr="008A49F9">
        <w:rPr>
          <w:rFonts w:ascii="Arial" w:eastAsia="Calibri" w:hAnsi="Arial"/>
          <w:szCs w:val="22"/>
          <w:lang w:eastAsia="en-US"/>
        </w:rPr>
        <w:t>en la región corres</w:t>
      </w:r>
      <w:r w:rsidR="0026371D" w:rsidRPr="008A49F9">
        <w:rPr>
          <w:rFonts w:ascii="Arial" w:eastAsia="Calibri" w:hAnsi="Arial"/>
          <w:szCs w:val="22"/>
          <w:lang w:eastAsia="en-US"/>
        </w:rPr>
        <w:t xml:space="preserve">pondiente, </w:t>
      </w:r>
      <w:r w:rsidR="00693575" w:rsidRPr="008A49F9">
        <w:rPr>
          <w:rFonts w:ascii="Arial" w:eastAsia="Calibri" w:hAnsi="Arial"/>
          <w:szCs w:val="22"/>
          <w:lang w:eastAsia="en-US"/>
        </w:rPr>
        <w:t xml:space="preserve">o en Madrid en el caso de los </w:t>
      </w:r>
      <w:r w:rsidR="005C096D" w:rsidRPr="008A49F9">
        <w:rPr>
          <w:rFonts w:ascii="Arial" w:eastAsia="Calibri" w:hAnsi="Arial"/>
          <w:szCs w:val="22"/>
          <w:lang w:eastAsia="en-US"/>
        </w:rPr>
        <w:t>P.O.</w:t>
      </w:r>
      <w:r w:rsidR="00693575" w:rsidRPr="008A49F9">
        <w:rPr>
          <w:rFonts w:ascii="Arial" w:eastAsia="Calibri" w:hAnsi="Arial"/>
          <w:szCs w:val="22"/>
          <w:lang w:eastAsia="en-US"/>
        </w:rPr>
        <w:t xml:space="preserve"> plurirregionales</w:t>
      </w:r>
      <w:r w:rsidR="0026371D" w:rsidRPr="008A49F9">
        <w:rPr>
          <w:rFonts w:ascii="Arial" w:eastAsia="Calibri" w:hAnsi="Arial"/>
          <w:szCs w:val="22"/>
          <w:lang w:eastAsia="en-US"/>
        </w:rPr>
        <w:t xml:space="preserve">. Las </w:t>
      </w:r>
      <w:r w:rsidR="00693575" w:rsidRPr="008A49F9">
        <w:rPr>
          <w:rFonts w:ascii="Arial" w:eastAsia="Calibri" w:hAnsi="Arial"/>
          <w:szCs w:val="22"/>
          <w:lang w:eastAsia="en-US"/>
        </w:rPr>
        <w:t xml:space="preserve">reuniones que duran un día, </w:t>
      </w:r>
      <w:r w:rsidR="0026371D" w:rsidRPr="008A49F9">
        <w:rPr>
          <w:rFonts w:ascii="Arial" w:eastAsia="Calibri" w:hAnsi="Arial"/>
          <w:szCs w:val="22"/>
          <w:lang w:eastAsia="en-US"/>
        </w:rPr>
        <w:t xml:space="preserve">y se desarrollan </w:t>
      </w:r>
      <w:r w:rsidR="00693575" w:rsidRPr="008A49F9">
        <w:rPr>
          <w:rFonts w:ascii="Arial" w:eastAsia="Calibri" w:hAnsi="Arial"/>
          <w:szCs w:val="22"/>
          <w:lang w:eastAsia="en-US"/>
        </w:rPr>
        <w:t xml:space="preserve">habitualmente en los meses de mayo o junio. </w:t>
      </w:r>
    </w:p>
    <w:p w:rsidR="006F0F9D" w:rsidRDefault="00741161" w:rsidP="008A49F9">
      <w:pPr>
        <w:spacing w:line="360" w:lineRule="auto"/>
        <w:ind w:right="283"/>
        <w:rPr>
          <w:rFonts w:ascii="Arial" w:eastAsia="Calibri" w:hAnsi="Arial"/>
          <w:szCs w:val="22"/>
          <w:lang w:eastAsia="en-US"/>
        </w:rPr>
      </w:pPr>
      <w:r w:rsidRPr="00D02803">
        <w:rPr>
          <w:rFonts w:ascii="Arial" w:eastAsia="Calibri" w:hAnsi="Arial"/>
          <w:szCs w:val="22"/>
          <w:lang w:eastAsia="en-US"/>
        </w:rPr>
        <w:t xml:space="preserve">De los contenidos tratados en cada una de las reuniones del Comité </w:t>
      </w:r>
      <w:r w:rsidR="00D02803" w:rsidRPr="00D02803">
        <w:rPr>
          <w:rFonts w:ascii="Arial" w:eastAsia="Calibri" w:hAnsi="Arial"/>
          <w:szCs w:val="22"/>
          <w:lang w:eastAsia="en-US"/>
        </w:rPr>
        <w:t xml:space="preserve">puede </w:t>
      </w:r>
      <w:r w:rsidRPr="00D02803">
        <w:rPr>
          <w:rFonts w:ascii="Arial" w:eastAsia="Calibri" w:hAnsi="Arial"/>
          <w:szCs w:val="22"/>
          <w:lang w:eastAsia="en-US"/>
        </w:rPr>
        <w:t>levanta</w:t>
      </w:r>
      <w:r w:rsidR="00D02803" w:rsidRPr="00D02803">
        <w:rPr>
          <w:rFonts w:ascii="Arial" w:eastAsia="Calibri" w:hAnsi="Arial"/>
          <w:szCs w:val="22"/>
          <w:lang w:eastAsia="en-US"/>
        </w:rPr>
        <w:t>rse</w:t>
      </w:r>
      <w:r w:rsidRPr="00D02803">
        <w:rPr>
          <w:rFonts w:ascii="Arial" w:eastAsia="Calibri" w:hAnsi="Arial"/>
          <w:szCs w:val="22"/>
          <w:lang w:eastAsia="en-US"/>
        </w:rPr>
        <w:t xml:space="preserve"> Acta</w:t>
      </w:r>
      <w:r w:rsidR="00D02803" w:rsidRPr="00D02803">
        <w:rPr>
          <w:rFonts w:ascii="Arial" w:eastAsia="Calibri" w:hAnsi="Arial"/>
          <w:szCs w:val="22"/>
          <w:lang w:eastAsia="en-US"/>
        </w:rPr>
        <w:t>; en otros casos, las reuniones se graban</w:t>
      </w:r>
      <w:r w:rsidRPr="00D02803">
        <w:rPr>
          <w:rFonts w:ascii="Arial" w:eastAsia="Calibri" w:hAnsi="Arial"/>
          <w:szCs w:val="22"/>
          <w:lang w:eastAsia="en-US"/>
        </w:rPr>
        <w:t xml:space="preserve">. Cada miembro del comité tiene </w:t>
      </w:r>
      <w:r w:rsidR="00D02803" w:rsidRPr="00D02803">
        <w:rPr>
          <w:rFonts w:ascii="Arial" w:eastAsia="Calibri" w:hAnsi="Arial"/>
          <w:szCs w:val="22"/>
          <w:lang w:eastAsia="en-US"/>
        </w:rPr>
        <w:t xml:space="preserve">potencialmente </w:t>
      </w:r>
      <w:r w:rsidRPr="00D02803">
        <w:rPr>
          <w:rFonts w:ascii="Arial" w:eastAsia="Calibri" w:hAnsi="Arial"/>
          <w:szCs w:val="22"/>
          <w:lang w:eastAsia="en-US"/>
        </w:rPr>
        <w:t>derecho a un voto</w:t>
      </w:r>
      <w:r w:rsidR="00D02803" w:rsidRPr="00D02803">
        <w:rPr>
          <w:rFonts w:ascii="Arial" w:eastAsia="Calibri" w:hAnsi="Arial"/>
          <w:szCs w:val="22"/>
          <w:lang w:eastAsia="en-US"/>
        </w:rPr>
        <w:t>, si bien los miembros en calidad consultiva carecen del mismo</w:t>
      </w:r>
      <w:r w:rsidR="006F0F9D" w:rsidRPr="00D02803">
        <w:rPr>
          <w:rFonts w:ascii="Arial" w:eastAsia="Calibri" w:hAnsi="Arial"/>
          <w:szCs w:val="22"/>
          <w:lang w:eastAsia="en-US"/>
        </w:rPr>
        <w:t>.</w:t>
      </w:r>
    </w:p>
    <w:p w:rsidR="001C4CA7" w:rsidRDefault="001C4CA7" w:rsidP="00B72FB0">
      <w:pPr>
        <w:spacing w:line="360" w:lineRule="auto"/>
        <w:ind w:right="283"/>
        <w:rPr>
          <w:rFonts w:ascii="Arial" w:eastAsia="Calibri" w:hAnsi="Arial"/>
          <w:szCs w:val="22"/>
          <w:lang w:eastAsia="en-US"/>
        </w:rPr>
      </w:pPr>
      <w:r w:rsidRPr="00EA37E2">
        <w:rPr>
          <w:rFonts w:ascii="Arial" w:eastAsia="Calibri" w:hAnsi="Arial"/>
          <w:b/>
          <w:szCs w:val="22"/>
          <w:lang w:eastAsia="en-US"/>
        </w:rPr>
        <w:t>La participación en este foro también se articula telemáticamente,</w:t>
      </w:r>
      <w:r>
        <w:rPr>
          <w:rFonts w:ascii="Arial" w:eastAsia="Calibri" w:hAnsi="Arial"/>
          <w:szCs w:val="22"/>
          <w:lang w:eastAsia="en-US"/>
        </w:rPr>
        <w:t xml:space="preserve"> es decir, existen canales de comunicación, interlocución y coordinación por escrito, en soporte digital</w:t>
      </w:r>
      <w:r w:rsidR="00693575">
        <w:rPr>
          <w:rFonts w:ascii="Arial" w:eastAsia="Calibri" w:hAnsi="Arial"/>
          <w:szCs w:val="22"/>
          <w:lang w:eastAsia="en-US"/>
        </w:rPr>
        <w:t xml:space="preserve"> que permiten mantenerse en contacto y preparar las reuniones</w:t>
      </w:r>
      <w:r>
        <w:rPr>
          <w:rFonts w:ascii="Arial" w:eastAsia="Calibri" w:hAnsi="Arial"/>
          <w:szCs w:val="22"/>
          <w:lang w:eastAsia="en-US"/>
        </w:rPr>
        <w:t>. Estos canales pueden ser útiles para plantear temas o cuestiones a tra</w:t>
      </w:r>
      <w:r w:rsidR="00EA37E2">
        <w:rPr>
          <w:rFonts w:ascii="Arial" w:eastAsia="Calibri" w:hAnsi="Arial"/>
          <w:szCs w:val="22"/>
          <w:lang w:eastAsia="en-US"/>
        </w:rPr>
        <w:t xml:space="preserve">tar y para formular propuestas al resto de miembros. </w:t>
      </w:r>
    </w:p>
    <w:p w:rsidR="008A49F9" w:rsidRDefault="008A49F9" w:rsidP="008A49F9">
      <w:pPr>
        <w:rPr>
          <w:rFonts w:eastAsiaTheme="majorEastAsia"/>
          <w:kern w:val="28"/>
          <w:lang w:eastAsia="en-US"/>
        </w:rPr>
      </w:pPr>
      <w:bookmarkStart w:id="11" w:name="_Toc425162938"/>
    </w:p>
    <w:p w:rsidR="006669E2" w:rsidRPr="00FC65C5" w:rsidRDefault="006669E2" w:rsidP="00B72FB0">
      <w:pPr>
        <w:keepNext/>
        <w:keepLines/>
        <w:pBdr>
          <w:bottom w:val="single" w:sz="8" w:space="4" w:color="4F81BD" w:themeColor="accent1"/>
        </w:pBdr>
        <w:spacing w:before="0" w:after="360"/>
        <w:ind w:right="283"/>
        <w:contextualSpacing/>
        <w:jc w:val="left"/>
        <w:rPr>
          <w:rFonts w:asciiTheme="majorHAnsi" w:eastAsiaTheme="majorEastAsia" w:hAnsiTheme="majorHAnsi" w:cstheme="majorBidi"/>
          <w:b/>
          <w:bCs/>
          <w:color w:val="17365D" w:themeColor="text2" w:themeShade="BF"/>
          <w:spacing w:val="5"/>
          <w:kern w:val="28"/>
          <w:sz w:val="52"/>
          <w:szCs w:val="52"/>
          <w:lang w:eastAsia="en-US"/>
        </w:rPr>
      </w:pPr>
      <w:r>
        <w:rPr>
          <w:rFonts w:asciiTheme="majorHAnsi" w:eastAsiaTheme="majorEastAsia" w:hAnsiTheme="majorHAnsi" w:cstheme="majorBidi"/>
          <w:b/>
          <w:bCs/>
          <w:color w:val="17365D" w:themeColor="text2" w:themeShade="BF"/>
          <w:spacing w:val="5"/>
          <w:kern w:val="28"/>
          <w:sz w:val="52"/>
          <w:szCs w:val="52"/>
          <w:lang w:eastAsia="en-US"/>
        </w:rPr>
        <w:t>Instrumentos de seguimiento</w:t>
      </w:r>
      <w:bookmarkEnd w:id="11"/>
      <w:r w:rsidR="0064621C">
        <w:rPr>
          <w:rFonts w:asciiTheme="majorHAnsi" w:eastAsiaTheme="majorEastAsia" w:hAnsiTheme="majorHAnsi" w:cstheme="majorBidi"/>
          <w:b/>
          <w:bCs/>
          <w:color w:val="17365D" w:themeColor="text2" w:themeShade="BF"/>
          <w:spacing w:val="5"/>
          <w:kern w:val="28"/>
          <w:sz w:val="52"/>
          <w:szCs w:val="52"/>
          <w:lang w:eastAsia="en-US"/>
        </w:rPr>
        <w:t xml:space="preserve"> </w:t>
      </w:r>
    </w:p>
    <w:p w:rsidR="00F96FCF" w:rsidRDefault="001C4CA7" w:rsidP="00B72FB0">
      <w:pPr>
        <w:spacing w:line="360" w:lineRule="auto"/>
        <w:ind w:right="283"/>
        <w:rPr>
          <w:rFonts w:ascii="Arial" w:eastAsia="Calibri" w:hAnsi="Arial"/>
          <w:szCs w:val="22"/>
          <w:lang w:eastAsia="en-US"/>
        </w:rPr>
      </w:pPr>
      <w:r w:rsidRPr="001C4CA7">
        <w:rPr>
          <w:rFonts w:ascii="Arial" w:eastAsia="Calibri" w:hAnsi="Arial"/>
          <w:szCs w:val="22"/>
          <w:lang w:eastAsia="en-US"/>
        </w:rPr>
        <w:t xml:space="preserve">Como resultado </w:t>
      </w:r>
      <w:r>
        <w:rPr>
          <w:rFonts w:ascii="Arial" w:eastAsia="Calibri" w:hAnsi="Arial"/>
          <w:szCs w:val="22"/>
          <w:lang w:eastAsia="en-US"/>
        </w:rPr>
        <w:t xml:space="preserve">del ejercicio de sus competencias, el Comité de Seguimiento tiene la </w:t>
      </w:r>
      <w:r w:rsidR="00832D3F">
        <w:rPr>
          <w:rFonts w:ascii="Arial" w:eastAsia="Calibri" w:hAnsi="Arial"/>
          <w:szCs w:val="22"/>
          <w:lang w:eastAsia="en-US"/>
        </w:rPr>
        <w:t xml:space="preserve">potestad de examinar y aprobar </w:t>
      </w:r>
      <w:r w:rsidR="00F97BA5">
        <w:rPr>
          <w:rFonts w:ascii="Arial" w:eastAsia="Calibri" w:hAnsi="Arial"/>
          <w:szCs w:val="22"/>
          <w:lang w:eastAsia="en-US"/>
        </w:rPr>
        <w:t>varios instrumentos fundamentales en la implementación de la programación:</w:t>
      </w:r>
    </w:p>
    <w:p w:rsidR="00C61C6A" w:rsidRPr="00C61C6A" w:rsidRDefault="00F97BA5" w:rsidP="00B72FB0">
      <w:pPr>
        <w:pStyle w:val="Prrafodelista"/>
        <w:numPr>
          <w:ilvl w:val="0"/>
          <w:numId w:val="31"/>
        </w:numPr>
        <w:spacing w:line="360" w:lineRule="auto"/>
        <w:ind w:right="283"/>
        <w:rPr>
          <w:rFonts w:ascii="Arial" w:eastAsia="Calibri" w:hAnsi="Arial"/>
          <w:szCs w:val="22"/>
          <w:lang w:eastAsia="en-US"/>
        </w:rPr>
      </w:pPr>
      <w:r>
        <w:rPr>
          <w:rFonts w:ascii="Arial" w:eastAsia="Calibri" w:hAnsi="Arial"/>
          <w:szCs w:val="22"/>
          <w:lang w:eastAsia="en-US"/>
        </w:rPr>
        <w:t xml:space="preserve">La </w:t>
      </w:r>
      <w:r w:rsidRPr="00EA37E2">
        <w:rPr>
          <w:rFonts w:ascii="Arial" w:eastAsia="Calibri" w:hAnsi="Arial"/>
          <w:b/>
          <w:szCs w:val="22"/>
          <w:lang w:eastAsia="en-US"/>
        </w:rPr>
        <w:t xml:space="preserve">metodología y los criterios de selección de las operaciones elegibles en el marco del </w:t>
      </w:r>
      <w:r w:rsidR="005C096D">
        <w:rPr>
          <w:rFonts w:ascii="Arial" w:eastAsia="Calibri" w:hAnsi="Arial"/>
          <w:b/>
          <w:szCs w:val="22"/>
          <w:lang w:eastAsia="en-US"/>
        </w:rPr>
        <w:t>P.O.</w:t>
      </w:r>
      <w:r>
        <w:rPr>
          <w:rFonts w:ascii="Arial" w:eastAsia="Calibri" w:hAnsi="Arial"/>
          <w:szCs w:val="22"/>
          <w:lang w:eastAsia="en-US"/>
        </w:rPr>
        <w:t xml:space="preserve"> </w:t>
      </w:r>
      <w:r w:rsidR="00C61C6A" w:rsidRPr="00C61C6A">
        <w:rPr>
          <w:rFonts w:ascii="Arial" w:eastAsia="Calibri" w:hAnsi="Arial"/>
          <w:szCs w:val="22"/>
          <w:lang w:eastAsia="en-US"/>
        </w:rPr>
        <w:t xml:space="preserve">Los Criterios de Selección de Operaciones son los preceptos básicos que debe cumplir una determinada operación para ser elegible y por tanto, poder recibir cofinanciación de los Fondos en el marco de un Programa Operativo de la Unión Europea. </w:t>
      </w:r>
      <w:r w:rsidR="00C61C6A">
        <w:rPr>
          <w:rFonts w:ascii="Arial" w:eastAsia="Calibri" w:hAnsi="Arial"/>
          <w:szCs w:val="22"/>
          <w:lang w:eastAsia="en-US"/>
        </w:rPr>
        <w:t>Así pues,</w:t>
      </w:r>
      <w:r w:rsidR="00C61C6A" w:rsidRPr="00C61C6A">
        <w:rPr>
          <w:rFonts w:ascii="Arial" w:eastAsia="Calibri" w:hAnsi="Arial"/>
          <w:szCs w:val="22"/>
          <w:lang w:eastAsia="en-US"/>
        </w:rPr>
        <w:t xml:space="preserve"> la conformidad con los criterios establecidos para la selección de operaciones constituye el primer filtro que éstas tienen que superar para ser susceptibles de cofinanciación.</w:t>
      </w:r>
    </w:p>
    <w:p w:rsidR="00F97BA5" w:rsidRDefault="00C61C6A" w:rsidP="00B72FB0">
      <w:pPr>
        <w:pStyle w:val="Prrafodelista"/>
        <w:spacing w:line="360" w:lineRule="auto"/>
        <w:ind w:left="720" w:right="283"/>
        <w:rPr>
          <w:rFonts w:ascii="Arial" w:eastAsia="Calibri" w:hAnsi="Arial"/>
          <w:szCs w:val="22"/>
          <w:lang w:eastAsia="en-US"/>
        </w:rPr>
      </w:pPr>
      <w:r w:rsidRPr="00C61C6A">
        <w:rPr>
          <w:rFonts w:ascii="Arial" w:eastAsia="Calibri" w:hAnsi="Arial"/>
          <w:szCs w:val="22"/>
          <w:lang w:eastAsia="en-US"/>
        </w:rPr>
        <w:t>Estos criterios son aprobados por los Comités de Seguimiento de los programas, no existiendo normas específicas ni pautas para su</w:t>
      </w:r>
      <w:r w:rsidR="008A49F9">
        <w:rPr>
          <w:rFonts w:ascii="Arial" w:eastAsia="Calibri" w:hAnsi="Arial"/>
          <w:szCs w:val="22"/>
          <w:lang w:eastAsia="en-US"/>
        </w:rPr>
        <w:t xml:space="preserve"> </w:t>
      </w:r>
      <w:r w:rsidRPr="00C61C6A">
        <w:rPr>
          <w:rFonts w:ascii="Arial" w:eastAsia="Calibri" w:hAnsi="Arial"/>
          <w:szCs w:val="22"/>
          <w:lang w:eastAsia="en-US"/>
        </w:rPr>
        <w:t xml:space="preserve">definición o redacción diferentes a las recogidas en la reglamentación comunitaria de aplicación. </w:t>
      </w:r>
      <w:r>
        <w:rPr>
          <w:rFonts w:ascii="Arial" w:eastAsia="Calibri" w:hAnsi="Arial"/>
          <w:szCs w:val="22"/>
          <w:lang w:eastAsia="en-US"/>
        </w:rPr>
        <w:t>Así pues, la participación en la definición y selección de estos criterios resulta del mayor interés.</w:t>
      </w:r>
    </w:p>
    <w:p w:rsidR="00F97BA5" w:rsidRDefault="00154971" w:rsidP="00B72FB0">
      <w:pPr>
        <w:pStyle w:val="Prrafodelista"/>
        <w:numPr>
          <w:ilvl w:val="0"/>
          <w:numId w:val="31"/>
        </w:numPr>
        <w:spacing w:line="360" w:lineRule="auto"/>
        <w:ind w:right="283"/>
        <w:rPr>
          <w:rFonts w:ascii="Arial" w:eastAsia="Calibri" w:hAnsi="Arial"/>
          <w:szCs w:val="22"/>
          <w:lang w:eastAsia="en-US"/>
        </w:rPr>
      </w:pPr>
      <w:r>
        <w:rPr>
          <w:rFonts w:ascii="Arial" w:eastAsia="Calibri" w:hAnsi="Arial"/>
          <w:szCs w:val="22"/>
          <w:lang w:eastAsia="en-US"/>
        </w:rPr>
        <w:t xml:space="preserve">Los </w:t>
      </w:r>
      <w:r w:rsidRPr="00EA37E2">
        <w:rPr>
          <w:rFonts w:ascii="Arial" w:eastAsia="Calibri" w:hAnsi="Arial"/>
          <w:b/>
          <w:szCs w:val="22"/>
          <w:lang w:eastAsia="en-US"/>
        </w:rPr>
        <w:t xml:space="preserve">informes anuales de ejecución del </w:t>
      </w:r>
      <w:r w:rsidR="005C096D">
        <w:rPr>
          <w:rFonts w:ascii="Arial" w:eastAsia="Calibri" w:hAnsi="Arial"/>
          <w:b/>
          <w:szCs w:val="22"/>
          <w:lang w:eastAsia="en-US"/>
        </w:rPr>
        <w:t>P.O.</w:t>
      </w:r>
      <w:r w:rsidRPr="00EA37E2">
        <w:rPr>
          <w:rFonts w:ascii="Arial" w:eastAsia="Calibri" w:hAnsi="Arial"/>
          <w:b/>
          <w:szCs w:val="22"/>
          <w:lang w:eastAsia="en-US"/>
        </w:rPr>
        <w:t xml:space="preserve"> así como el informe final</w:t>
      </w:r>
      <w:r>
        <w:rPr>
          <w:rFonts w:ascii="Arial" w:eastAsia="Calibri" w:hAnsi="Arial"/>
          <w:szCs w:val="22"/>
          <w:lang w:eastAsia="en-US"/>
        </w:rPr>
        <w:t xml:space="preserve"> donde se da cuenta a la Comisión los avances que se van produciendo en la ejecución del </w:t>
      </w:r>
      <w:r w:rsidR="005C096D">
        <w:rPr>
          <w:rFonts w:ascii="Arial" w:eastAsia="Calibri" w:hAnsi="Arial"/>
          <w:szCs w:val="22"/>
          <w:lang w:eastAsia="en-US"/>
        </w:rPr>
        <w:t>P.O.</w:t>
      </w:r>
      <w:r w:rsidR="008A49F9">
        <w:rPr>
          <w:rFonts w:ascii="Arial" w:eastAsia="Calibri" w:hAnsi="Arial"/>
          <w:szCs w:val="22"/>
          <w:lang w:eastAsia="en-US"/>
        </w:rPr>
        <w:t xml:space="preserve"> </w:t>
      </w:r>
    </w:p>
    <w:p w:rsidR="00154971" w:rsidRDefault="00154971" w:rsidP="00B72FB0">
      <w:pPr>
        <w:pStyle w:val="Prrafodelista"/>
        <w:numPr>
          <w:ilvl w:val="0"/>
          <w:numId w:val="31"/>
        </w:numPr>
        <w:spacing w:before="0" w:line="360" w:lineRule="auto"/>
        <w:ind w:right="283"/>
        <w:rPr>
          <w:rFonts w:ascii="Arial" w:eastAsia="Calibri" w:hAnsi="Arial"/>
          <w:szCs w:val="22"/>
          <w:lang w:eastAsia="en-US"/>
        </w:rPr>
      </w:pPr>
      <w:r>
        <w:rPr>
          <w:rFonts w:ascii="Arial" w:eastAsia="Calibri" w:hAnsi="Arial"/>
          <w:szCs w:val="22"/>
          <w:lang w:eastAsia="en-US"/>
        </w:rPr>
        <w:t xml:space="preserve">El </w:t>
      </w:r>
      <w:r w:rsidRPr="00EA37E2">
        <w:rPr>
          <w:rFonts w:ascii="Arial" w:eastAsia="Calibri" w:hAnsi="Arial"/>
          <w:b/>
          <w:szCs w:val="22"/>
          <w:lang w:eastAsia="en-US"/>
        </w:rPr>
        <w:t xml:space="preserve">plan de evaluación del </w:t>
      </w:r>
      <w:r w:rsidR="005C096D">
        <w:rPr>
          <w:rFonts w:ascii="Arial" w:eastAsia="Calibri" w:hAnsi="Arial"/>
          <w:b/>
          <w:szCs w:val="22"/>
          <w:lang w:eastAsia="en-US"/>
        </w:rPr>
        <w:t>P.O.</w:t>
      </w:r>
      <w:r>
        <w:rPr>
          <w:rFonts w:ascii="Arial" w:eastAsia="Calibri" w:hAnsi="Arial"/>
          <w:szCs w:val="22"/>
          <w:lang w:eastAsia="en-US"/>
        </w:rPr>
        <w:t xml:space="preserve"> </w:t>
      </w:r>
    </w:p>
    <w:p w:rsidR="00154971" w:rsidRDefault="00154971" w:rsidP="00B72FB0">
      <w:pPr>
        <w:pStyle w:val="Prrafodelista"/>
        <w:numPr>
          <w:ilvl w:val="0"/>
          <w:numId w:val="31"/>
        </w:numPr>
        <w:spacing w:line="360" w:lineRule="auto"/>
        <w:ind w:right="283"/>
        <w:rPr>
          <w:rFonts w:ascii="Arial" w:eastAsia="Calibri" w:hAnsi="Arial"/>
          <w:szCs w:val="22"/>
          <w:lang w:eastAsia="en-US"/>
        </w:rPr>
      </w:pPr>
      <w:r>
        <w:rPr>
          <w:rFonts w:ascii="Arial" w:eastAsia="Calibri" w:hAnsi="Arial"/>
          <w:szCs w:val="22"/>
          <w:lang w:eastAsia="en-US"/>
        </w:rPr>
        <w:t xml:space="preserve">Y la </w:t>
      </w:r>
      <w:r w:rsidRPr="00EA37E2">
        <w:rPr>
          <w:rFonts w:ascii="Arial" w:eastAsia="Calibri" w:hAnsi="Arial"/>
          <w:b/>
          <w:szCs w:val="22"/>
          <w:lang w:eastAsia="en-US"/>
        </w:rPr>
        <w:t>estrategia de comunicación</w:t>
      </w:r>
      <w:r w:rsidR="00EA37E2">
        <w:rPr>
          <w:rFonts w:ascii="Arial" w:eastAsia="Calibri" w:hAnsi="Arial"/>
          <w:szCs w:val="22"/>
          <w:lang w:eastAsia="en-US"/>
        </w:rPr>
        <w:t xml:space="preserve"> vinculada al mismo, que recoge la tipología de acciones de difusión y comunicación del </w:t>
      </w:r>
      <w:r w:rsidR="005C096D">
        <w:rPr>
          <w:rFonts w:ascii="Arial" w:eastAsia="Calibri" w:hAnsi="Arial"/>
          <w:szCs w:val="22"/>
          <w:lang w:eastAsia="en-US"/>
        </w:rPr>
        <w:t>P.O.</w:t>
      </w:r>
      <w:r w:rsidR="00EA37E2">
        <w:rPr>
          <w:rFonts w:ascii="Arial" w:eastAsia="Calibri" w:hAnsi="Arial"/>
          <w:szCs w:val="22"/>
          <w:lang w:eastAsia="en-US"/>
        </w:rPr>
        <w:t xml:space="preserve"> y</w:t>
      </w:r>
      <w:r w:rsidR="00832D3F">
        <w:rPr>
          <w:rFonts w:ascii="Arial" w:eastAsia="Calibri" w:hAnsi="Arial"/>
          <w:szCs w:val="22"/>
          <w:lang w:eastAsia="en-US"/>
        </w:rPr>
        <w:t xml:space="preserve"> sus actuaciones cofinanciadas a lo largo de su período de vigencia. </w:t>
      </w:r>
    </w:p>
    <w:p w:rsidR="005B7FC2" w:rsidRDefault="00154971" w:rsidP="00B72FB0">
      <w:pPr>
        <w:spacing w:line="360" w:lineRule="auto"/>
        <w:ind w:right="-2"/>
        <w:rPr>
          <w:rFonts w:ascii="Arial" w:eastAsia="Calibri" w:hAnsi="Arial"/>
          <w:szCs w:val="22"/>
          <w:lang w:eastAsia="en-US"/>
        </w:rPr>
      </w:pPr>
      <w:r>
        <w:rPr>
          <w:rFonts w:ascii="Arial" w:eastAsia="Calibri" w:hAnsi="Arial"/>
          <w:szCs w:val="22"/>
          <w:lang w:eastAsia="en-US"/>
        </w:rPr>
        <w:t xml:space="preserve">Una vez definido este panorama, es posible delimitar el rol que podrían jugar los CERMI en los Comités de Seguimiento </w:t>
      </w:r>
      <w:r w:rsidR="00033784">
        <w:rPr>
          <w:rFonts w:ascii="Arial" w:eastAsia="Calibri" w:hAnsi="Arial"/>
          <w:szCs w:val="22"/>
          <w:lang w:eastAsia="en-US"/>
        </w:rPr>
        <w:t>en</w:t>
      </w:r>
      <w:r>
        <w:rPr>
          <w:rFonts w:ascii="Arial" w:eastAsia="Calibri" w:hAnsi="Arial"/>
          <w:szCs w:val="22"/>
          <w:lang w:eastAsia="en-US"/>
        </w:rPr>
        <w:t xml:space="preserve"> favor de las personas con discapacidad. </w:t>
      </w:r>
    </w:p>
    <w:p w:rsidR="005B7FC2" w:rsidRDefault="005B7FC2" w:rsidP="00B72FB0">
      <w:pPr>
        <w:spacing w:before="0" w:after="0"/>
        <w:jc w:val="left"/>
        <w:rPr>
          <w:rFonts w:ascii="Arial" w:eastAsia="Calibri" w:hAnsi="Arial"/>
          <w:szCs w:val="22"/>
          <w:lang w:eastAsia="en-US"/>
        </w:rPr>
      </w:pPr>
      <w:r>
        <w:rPr>
          <w:rFonts w:ascii="Arial" w:eastAsia="Calibri" w:hAnsi="Arial"/>
          <w:szCs w:val="22"/>
          <w:lang w:eastAsia="en-US"/>
        </w:rPr>
        <w:br w:type="page"/>
      </w:r>
    </w:p>
    <w:p w:rsidR="00215D89" w:rsidRDefault="00D7511A" w:rsidP="00B72FB0">
      <w:pPr>
        <w:keepNext/>
        <w:keepLines/>
        <w:tabs>
          <w:tab w:val="left" w:pos="7513"/>
        </w:tabs>
        <w:spacing w:before="0" w:after="300"/>
        <w:ind w:right="283"/>
        <w:contextualSpacing/>
        <w:jc w:val="left"/>
        <w:rPr>
          <w:rFonts w:asciiTheme="majorHAnsi" w:eastAsiaTheme="majorEastAsia" w:hAnsiTheme="majorHAnsi" w:cstheme="majorBidi"/>
          <w:b/>
          <w:bCs/>
          <w:color w:val="17365D" w:themeColor="text2" w:themeShade="BF"/>
          <w:spacing w:val="5"/>
          <w:kern w:val="28"/>
          <w:sz w:val="80"/>
          <w:szCs w:val="80"/>
          <w:lang w:eastAsia="en-US"/>
        </w:rPr>
      </w:pPr>
      <w:bookmarkStart w:id="12" w:name="_Toc425162939"/>
      <w:r w:rsidRPr="00215D89">
        <w:rPr>
          <w:rFonts w:asciiTheme="majorHAnsi" w:eastAsiaTheme="majorEastAsia" w:hAnsiTheme="majorHAnsi" w:cstheme="majorBidi"/>
          <w:b/>
          <w:bCs/>
          <w:color w:val="17365D" w:themeColor="text2" w:themeShade="BF"/>
          <w:spacing w:val="5"/>
          <w:kern w:val="28"/>
          <w:sz w:val="80"/>
          <w:szCs w:val="80"/>
          <w:lang w:eastAsia="en-US"/>
        </w:rPr>
        <w:t xml:space="preserve">ROL DE LOS CERMI EN LOS COMITÉS DE SEGUIMIENTO DE LOS </w:t>
      </w:r>
      <w:r w:rsidR="00193A2C" w:rsidRPr="00215D89">
        <w:rPr>
          <w:rFonts w:asciiTheme="majorHAnsi" w:eastAsiaTheme="majorEastAsia" w:hAnsiTheme="majorHAnsi" w:cstheme="majorBidi"/>
          <w:b/>
          <w:bCs/>
          <w:color w:val="17365D" w:themeColor="text2" w:themeShade="BF"/>
          <w:spacing w:val="5"/>
          <w:kern w:val="28"/>
          <w:sz w:val="80"/>
          <w:szCs w:val="80"/>
          <w:lang w:eastAsia="en-US"/>
        </w:rPr>
        <w:t>P</w:t>
      </w:r>
      <w:r w:rsidR="00193A2C">
        <w:rPr>
          <w:rFonts w:asciiTheme="majorHAnsi" w:eastAsiaTheme="majorEastAsia" w:hAnsiTheme="majorHAnsi" w:cstheme="majorBidi"/>
          <w:b/>
          <w:bCs/>
          <w:color w:val="17365D" w:themeColor="text2" w:themeShade="BF"/>
          <w:spacing w:val="5"/>
          <w:kern w:val="28"/>
          <w:sz w:val="80"/>
          <w:szCs w:val="80"/>
          <w:lang w:eastAsia="en-US"/>
        </w:rPr>
        <w:t>.</w:t>
      </w:r>
      <w:r w:rsidR="00193A2C" w:rsidRPr="00215D89">
        <w:rPr>
          <w:rFonts w:asciiTheme="majorHAnsi" w:eastAsiaTheme="majorEastAsia" w:hAnsiTheme="majorHAnsi" w:cstheme="majorBidi"/>
          <w:b/>
          <w:bCs/>
          <w:color w:val="17365D" w:themeColor="text2" w:themeShade="BF"/>
          <w:spacing w:val="5"/>
          <w:kern w:val="28"/>
          <w:sz w:val="80"/>
          <w:szCs w:val="80"/>
          <w:lang w:eastAsia="en-US"/>
        </w:rPr>
        <w:t>O.</w:t>
      </w:r>
      <w:r w:rsidRPr="00215D89">
        <w:rPr>
          <w:rFonts w:asciiTheme="majorHAnsi" w:eastAsiaTheme="majorEastAsia" w:hAnsiTheme="majorHAnsi" w:cstheme="majorBidi"/>
          <w:b/>
          <w:bCs/>
          <w:color w:val="17365D" w:themeColor="text2" w:themeShade="BF"/>
          <w:spacing w:val="5"/>
          <w:kern w:val="28"/>
          <w:sz w:val="80"/>
          <w:szCs w:val="80"/>
          <w:lang w:eastAsia="en-US"/>
        </w:rPr>
        <w:t xml:space="preserve"> </w:t>
      </w:r>
      <w:r w:rsidR="00825C06">
        <w:rPr>
          <w:rFonts w:asciiTheme="majorHAnsi" w:eastAsiaTheme="majorEastAsia" w:hAnsiTheme="majorHAnsi" w:cstheme="majorBidi"/>
          <w:b/>
          <w:bCs/>
          <w:color w:val="17365D" w:themeColor="text2" w:themeShade="BF"/>
          <w:spacing w:val="5"/>
          <w:kern w:val="28"/>
          <w:sz w:val="80"/>
          <w:szCs w:val="80"/>
          <w:lang w:eastAsia="en-US"/>
        </w:rPr>
        <w:t>DEL</w:t>
      </w:r>
      <w:r w:rsidR="00E73E65">
        <w:rPr>
          <w:rFonts w:asciiTheme="majorHAnsi" w:eastAsiaTheme="majorEastAsia" w:hAnsiTheme="majorHAnsi" w:cstheme="majorBidi"/>
          <w:b/>
          <w:bCs/>
          <w:color w:val="17365D" w:themeColor="text2" w:themeShade="BF"/>
          <w:spacing w:val="5"/>
          <w:kern w:val="28"/>
          <w:sz w:val="80"/>
          <w:szCs w:val="80"/>
          <w:lang w:eastAsia="en-US"/>
        </w:rPr>
        <w:t xml:space="preserve"> </w:t>
      </w:r>
      <w:r w:rsidRPr="00215D89">
        <w:rPr>
          <w:rFonts w:asciiTheme="majorHAnsi" w:eastAsiaTheme="majorEastAsia" w:hAnsiTheme="majorHAnsi" w:cstheme="majorBidi"/>
          <w:b/>
          <w:bCs/>
          <w:color w:val="17365D" w:themeColor="text2" w:themeShade="BF"/>
          <w:spacing w:val="5"/>
          <w:kern w:val="28"/>
          <w:sz w:val="80"/>
          <w:szCs w:val="80"/>
          <w:lang w:eastAsia="en-US"/>
        </w:rPr>
        <w:t>FSE:</w:t>
      </w:r>
      <w:bookmarkEnd w:id="12"/>
      <w:r w:rsidRPr="00215D89">
        <w:rPr>
          <w:rFonts w:asciiTheme="majorHAnsi" w:eastAsiaTheme="majorEastAsia" w:hAnsiTheme="majorHAnsi" w:cstheme="majorBidi"/>
          <w:b/>
          <w:bCs/>
          <w:color w:val="17365D" w:themeColor="text2" w:themeShade="BF"/>
          <w:spacing w:val="5"/>
          <w:kern w:val="28"/>
          <w:sz w:val="80"/>
          <w:szCs w:val="80"/>
          <w:lang w:eastAsia="en-US"/>
        </w:rPr>
        <w:t xml:space="preserve"> </w:t>
      </w:r>
    </w:p>
    <w:p w:rsidR="000B4DD2" w:rsidRPr="00215D89" w:rsidRDefault="00D7511A" w:rsidP="00B72FB0">
      <w:pPr>
        <w:keepNext/>
        <w:keepLines/>
        <w:tabs>
          <w:tab w:val="left" w:pos="7513"/>
        </w:tabs>
        <w:spacing w:before="0" w:after="300"/>
        <w:ind w:right="283"/>
        <w:contextualSpacing/>
        <w:jc w:val="left"/>
        <w:rPr>
          <w:rFonts w:asciiTheme="majorHAnsi" w:eastAsiaTheme="majorEastAsia" w:hAnsiTheme="majorHAnsi" w:cstheme="majorBidi"/>
          <w:b/>
          <w:bCs/>
          <w:color w:val="17365D" w:themeColor="text2" w:themeShade="BF"/>
          <w:spacing w:val="5"/>
          <w:kern w:val="28"/>
          <w:sz w:val="80"/>
          <w:szCs w:val="80"/>
          <w:lang w:eastAsia="en-US"/>
        </w:rPr>
      </w:pPr>
      <w:bookmarkStart w:id="13" w:name="_Toc425162940"/>
      <w:r w:rsidRPr="00215D89">
        <w:rPr>
          <w:rFonts w:asciiTheme="majorHAnsi" w:eastAsiaTheme="majorEastAsia" w:hAnsiTheme="majorHAnsi" w:cstheme="majorBidi"/>
          <w:b/>
          <w:bCs/>
          <w:color w:val="17365D" w:themeColor="text2" w:themeShade="BF"/>
          <w:spacing w:val="5"/>
          <w:kern w:val="28"/>
          <w:sz w:val="80"/>
          <w:szCs w:val="80"/>
          <w:lang w:eastAsia="en-US"/>
        </w:rPr>
        <w:t xml:space="preserve">PAUTAS DE </w:t>
      </w:r>
      <w:r>
        <w:rPr>
          <w:rFonts w:asciiTheme="majorHAnsi" w:eastAsiaTheme="majorEastAsia" w:hAnsiTheme="majorHAnsi" w:cstheme="majorBidi"/>
          <w:b/>
          <w:bCs/>
          <w:color w:val="17365D" w:themeColor="text2" w:themeShade="BF"/>
          <w:spacing w:val="5"/>
          <w:kern w:val="28"/>
          <w:sz w:val="80"/>
          <w:szCs w:val="80"/>
          <w:lang w:eastAsia="en-US"/>
        </w:rPr>
        <w:t>I</w:t>
      </w:r>
      <w:r w:rsidRPr="00215D89">
        <w:rPr>
          <w:rFonts w:asciiTheme="majorHAnsi" w:eastAsiaTheme="majorEastAsia" w:hAnsiTheme="majorHAnsi" w:cstheme="majorBidi"/>
          <w:b/>
          <w:bCs/>
          <w:color w:val="17365D" w:themeColor="text2" w:themeShade="BF"/>
          <w:spacing w:val="5"/>
          <w:kern w:val="28"/>
          <w:sz w:val="80"/>
          <w:szCs w:val="80"/>
          <w:lang w:eastAsia="en-US"/>
        </w:rPr>
        <w:t>NCIDENCIA POLÍTICA</w:t>
      </w:r>
      <w:bookmarkEnd w:id="13"/>
    </w:p>
    <w:p w:rsidR="008A49F9" w:rsidRDefault="008A49F9" w:rsidP="008A49F9">
      <w:pPr>
        <w:rPr>
          <w:rFonts w:eastAsiaTheme="majorEastAsia"/>
          <w:kern w:val="28"/>
          <w:lang w:eastAsia="en-US"/>
        </w:rPr>
      </w:pPr>
    </w:p>
    <w:p w:rsidR="000B4DD2" w:rsidRPr="00FC65C5" w:rsidRDefault="00C1710A" w:rsidP="008A49F9">
      <w:pPr>
        <w:spacing w:before="0" w:after="0"/>
        <w:ind w:left="284" w:right="1132"/>
        <w:jc w:val="left"/>
        <w:rPr>
          <w:rFonts w:asciiTheme="majorHAnsi" w:eastAsiaTheme="majorEastAsia" w:hAnsiTheme="majorHAnsi" w:cstheme="majorBidi"/>
          <w:b/>
          <w:bCs/>
          <w:color w:val="17365D" w:themeColor="text2" w:themeShade="BF"/>
          <w:spacing w:val="5"/>
          <w:kern w:val="28"/>
          <w:sz w:val="52"/>
          <w:szCs w:val="52"/>
          <w:lang w:eastAsia="en-US"/>
        </w:rPr>
      </w:pPr>
      <w:bookmarkStart w:id="14" w:name="_Toc425162941"/>
      <w:r>
        <w:rPr>
          <w:rFonts w:asciiTheme="majorHAnsi" w:eastAsiaTheme="majorEastAsia" w:hAnsiTheme="majorHAnsi" w:cstheme="majorBidi"/>
          <w:b/>
          <w:bCs/>
          <w:color w:val="17365D" w:themeColor="text2" w:themeShade="BF"/>
          <w:spacing w:val="5"/>
          <w:kern w:val="28"/>
          <w:sz w:val="52"/>
          <w:szCs w:val="52"/>
          <w:lang w:eastAsia="en-US"/>
        </w:rPr>
        <w:t>Diez p</w:t>
      </w:r>
      <w:r w:rsidR="00693575" w:rsidRPr="00693575">
        <w:rPr>
          <w:rFonts w:asciiTheme="majorHAnsi" w:eastAsiaTheme="majorEastAsia" w:hAnsiTheme="majorHAnsi" w:cstheme="majorBidi"/>
          <w:b/>
          <w:bCs/>
          <w:color w:val="17365D" w:themeColor="text2" w:themeShade="BF"/>
          <w:spacing w:val="5"/>
          <w:kern w:val="28"/>
          <w:sz w:val="52"/>
          <w:szCs w:val="52"/>
          <w:lang w:eastAsia="en-US"/>
        </w:rPr>
        <w:t>asos para la incidencia política de los CERMI en los Comités de Seguimiento</w:t>
      </w:r>
      <w:bookmarkEnd w:id="14"/>
    </w:p>
    <w:p w:rsidR="00D7511A" w:rsidRDefault="00C41C25" w:rsidP="00B72FB0">
      <w:pPr>
        <w:pStyle w:val="Prrafodelista"/>
        <w:numPr>
          <w:ilvl w:val="0"/>
          <w:numId w:val="32"/>
        </w:numPr>
        <w:spacing w:line="360" w:lineRule="auto"/>
        <w:ind w:left="426" w:right="283" w:hanging="357"/>
        <w:rPr>
          <w:rFonts w:ascii="Arial" w:eastAsia="Calibri" w:hAnsi="Arial"/>
          <w:szCs w:val="22"/>
          <w:lang w:eastAsia="en-US"/>
        </w:rPr>
      </w:pPr>
      <w:r w:rsidRPr="00790B48">
        <w:rPr>
          <w:rFonts w:ascii="Arial" w:eastAsia="Calibri" w:hAnsi="Arial"/>
          <w:b/>
          <w:szCs w:val="22"/>
          <w:lang w:eastAsia="en-US"/>
        </w:rPr>
        <w:t>Primeros pasos</w:t>
      </w:r>
      <w:r>
        <w:rPr>
          <w:rFonts w:ascii="Arial" w:eastAsia="Calibri" w:hAnsi="Arial"/>
          <w:szCs w:val="22"/>
          <w:lang w:eastAsia="en-US"/>
        </w:rPr>
        <w:t xml:space="preserve">. </w:t>
      </w:r>
      <w:r w:rsidR="00AE2BCC">
        <w:rPr>
          <w:rFonts w:ascii="Arial" w:eastAsia="Calibri" w:hAnsi="Arial"/>
          <w:szCs w:val="22"/>
          <w:lang w:eastAsia="en-US"/>
        </w:rPr>
        <w:t>En primer lugar</w:t>
      </w:r>
      <w:r w:rsidR="002F5B39">
        <w:rPr>
          <w:rFonts w:ascii="Arial" w:eastAsia="Calibri" w:hAnsi="Arial"/>
          <w:szCs w:val="22"/>
          <w:lang w:eastAsia="en-US"/>
        </w:rPr>
        <w:t xml:space="preserve">, es necesario conocer en </w:t>
      </w:r>
      <w:r w:rsidR="00BB7CB8">
        <w:rPr>
          <w:rFonts w:ascii="Arial" w:eastAsia="Calibri" w:hAnsi="Arial"/>
          <w:szCs w:val="22"/>
          <w:lang w:eastAsia="en-US"/>
        </w:rPr>
        <w:t xml:space="preserve">qué </w:t>
      </w:r>
      <w:r w:rsidR="00BB7CB8" w:rsidRPr="005B7FC2">
        <w:rPr>
          <w:rFonts w:ascii="Arial" w:eastAsia="Calibri" w:hAnsi="Arial"/>
          <w:szCs w:val="22"/>
          <w:u w:val="single"/>
          <w:lang w:eastAsia="en-US"/>
        </w:rPr>
        <w:t>estado de tramitación se encuentra e</w:t>
      </w:r>
      <w:r w:rsidR="002F5B39" w:rsidRPr="005B7FC2">
        <w:rPr>
          <w:rFonts w:ascii="Arial" w:eastAsia="Calibri" w:hAnsi="Arial"/>
          <w:szCs w:val="22"/>
          <w:u w:val="single"/>
          <w:lang w:eastAsia="en-US"/>
        </w:rPr>
        <w:t xml:space="preserve">l </w:t>
      </w:r>
      <w:r w:rsidR="005C096D">
        <w:rPr>
          <w:rFonts w:ascii="Arial" w:eastAsia="Calibri" w:hAnsi="Arial"/>
          <w:szCs w:val="22"/>
          <w:u w:val="single"/>
          <w:lang w:eastAsia="en-US"/>
        </w:rPr>
        <w:t>P.O.</w:t>
      </w:r>
      <w:r w:rsidR="002F5B39">
        <w:rPr>
          <w:rFonts w:ascii="Arial" w:eastAsia="Calibri" w:hAnsi="Arial"/>
          <w:szCs w:val="22"/>
          <w:lang w:eastAsia="en-US"/>
        </w:rPr>
        <w:t xml:space="preserve"> del FSE correspondiente a la</w:t>
      </w:r>
      <w:r w:rsidR="00BB7CB8">
        <w:rPr>
          <w:rFonts w:ascii="Arial" w:eastAsia="Calibri" w:hAnsi="Arial"/>
          <w:szCs w:val="22"/>
          <w:lang w:eastAsia="en-US"/>
        </w:rPr>
        <w:t xml:space="preserve"> región</w:t>
      </w:r>
      <w:r w:rsidR="002F5B39">
        <w:rPr>
          <w:rFonts w:ascii="Arial" w:eastAsia="Calibri" w:hAnsi="Arial"/>
          <w:szCs w:val="22"/>
          <w:lang w:eastAsia="en-US"/>
        </w:rPr>
        <w:t xml:space="preserve"> de referencia</w:t>
      </w:r>
      <w:r w:rsidR="00BB7CB8">
        <w:rPr>
          <w:rFonts w:ascii="Arial" w:eastAsia="Calibri" w:hAnsi="Arial"/>
          <w:szCs w:val="22"/>
          <w:lang w:eastAsia="en-US"/>
        </w:rPr>
        <w:t xml:space="preserve">, pues una vez aprobado </w:t>
      </w:r>
      <w:r w:rsidR="00EE72FF">
        <w:rPr>
          <w:rFonts w:ascii="Arial" w:eastAsia="Calibri" w:hAnsi="Arial"/>
          <w:szCs w:val="22"/>
          <w:lang w:eastAsia="en-US"/>
        </w:rPr>
        <w:t xml:space="preserve">el Programa </w:t>
      </w:r>
      <w:r w:rsidR="002F5B39">
        <w:rPr>
          <w:rFonts w:ascii="Arial" w:eastAsia="Calibri" w:hAnsi="Arial"/>
          <w:szCs w:val="22"/>
          <w:lang w:eastAsia="en-US"/>
        </w:rPr>
        <w:t xml:space="preserve">Operativo </w:t>
      </w:r>
      <w:r w:rsidR="000F1A08">
        <w:rPr>
          <w:rFonts w:ascii="Arial" w:eastAsia="Calibri" w:hAnsi="Arial"/>
          <w:szCs w:val="22"/>
          <w:lang w:eastAsia="en-US"/>
        </w:rPr>
        <w:t xml:space="preserve">de manera definitiva </w:t>
      </w:r>
      <w:r w:rsidR="00BB7CB8">
        <w:rPr>
          <w:rFonts w:ascii="Arial" w:eastAsia="Calibri" w:hAnsi="Arial"/>
          <w:szCs w:val="22"/>
          <w:lang w:eastAsia="en-US"/>
        </w:rPr>
        <w:t xml:space="preserve">la participación en el Comité de Seguimiento se complica. Para ello, es necesario identificar a la autoridad responsable del </w:t>
      </w:r>
      <w:r w:rsidR="005C096D">
        <w:rPr>
          <w:rFonts w:ascii="Arial" w:eastAsia="Calibri" w:hAnsi="Arial"/>
          <w:szCs w:val="22"/>
          <w:lang w:eastAsia="en-US"/>
        </w:rPr>
        <w:t>P.O.</w:t>
      </w:r>
      <w:r w:rsidR="00BB7CB8">
        <w:rPr>
          <w:rFonts w:ascii="Arial" w:eastAsia="Calibri" w:hAnsi="Arial"/>
          <w:szCs w:val="22"/>
          <w:lang w:eastAsia="en-US"/>
        </w:rPr>
        <w:t xml:space="preserve"> en la Comunidad Autónoma y dirigirse a ella para corroborar esta circunstancia, y en su caso, ver la posibilidad de articular posibles soluciones a la participación del CERMI </w:t>
      </w:r>
      <w:r w:rsidR="000F1A08">
        <w:rPr>
          <w:rFonts w:ascii="Arial" w:eastAsia="Calibri" w:hAnsi="Arial"/>
          <w:szCs w:val="22"/>
          <w:lang w:eastAsia="en-US"/>
        </w:rPr>
        <w:t xml:space="preserve">de dicha autonomía </w:t>
      </w:r>
      <w:r w:rsidR="00BB7CB8">
        <w:rPr>
          <w:rFonts w:ascii="Arial" w:eastAsia="Calibri" w:hAnsi="Arial"/>
          <w:szCs w:val="22"/>
          <w:lang w:eastAsia="en-US"/>
        </w:rPr>
        <w:t xml:space="preserve">en el Comité de Seguimiento de dicho </w:t>
      </w:r>
      <w:r w:rsidR="005C096D">
        <w:rPr>
          <w:rFonts w:ascii="Arial" w:eastAsia="Calibri" w:hAnsi="Arial"/>
          <w:szCs w:val="22"/>
          <w:lang w:eastAsia="en-US"/>
        </w:rPr>
        <w:t>P.O.</w:t>
      </w:r>
      <w:r w:rsidR="00BB7CB8">
        <w:rPr>
          <w:rFonts w:ascii="Arial" w:eastAsia="Calibri" w:hAnsi="Arial"/>
          <w:szCs w:val="22"/>
          <w:lang w:eastAsia="en-US"/>
        </w:rPr>
        <w:t xml:space="preserve"> </w:t>
      </w:r>
    </w:p>
    <w:p w:rsidR="00790B48" w:rsidRDefault="000F1A08" w:rsidP="00B72FB0">
      <w:pPr>
        <w:pStyle w:val="Prrafodelista"/>
        <w:spacing w:line="360" w:lineRule="auto"/>
        <w:ind w:left="426" w:right="283"/>
        <w:rPr>
          <w:rFonts w:ascii="Arial" w:eastAsia="Calibri" w:hAnsi="Arial"/>
          <w:szCs w:val="22"/>
          <w:lang w:eastAsia="en-US"/>
        </w:rPr>
      </w:pPr>
      <w:r>
        <w:rPr>
          <w:rFonts w:ascii="Arial" w:eastAsia="Calibri" w:hAnsi="Arial"/>
          <w:szCs w:val="22"/>
          <w:lang w:eastAsia="en-US"/>
        </w:rPr>
        <w:t>En los casos en q</w:t>
      </w:r>
      <w:r w:rsidR="00BB7CB8">
        <w:rPr>
          <w:rFonts w:ascii="Arial" w:eastAsia="Calibri" w:hAnsi="Arial"/>
          <w:szCs w:val="22"/>
          <w:lang w:eastAsia="en-US"/>
        </w:rPr>
        <w:t xml:space="preserve">ue el </w:t>
      </w:r>
      <w:r w:rsidR="005C096D">
        <w:rPr>
          <w:rFonts w:ascii="Arial" w:eastAsia="Calibri" w:hAnsi="Arial"/>
          <w:szCs w:val="22"/>
          <w:lang w:eastAsia="en-US"/>
        </w:rPr>
        <w:t>P.O.</w:t>
      </w:r>
      <w:r w:rsidR="00BB7CB8">
        <w:rPr>
          <w:rFonts w:ascii="Arial" w:eastAsia="Calibri" w:hAnsi="Arial"/>
          <w:szCs w:val="22"/>
          <w:lang w:eastAsia="en-US"/>
        </w:rPr>
        <w:t xml:space="preserve"> </w:t>
      </w:r>
      <w:r>
        <w:rPr>
          <w:rFonts w:ascii="Arial" w:eastAsia="Calibri" w:hAnsi="Arial"/>
          <w:szCs w:val="22"/>
          <w:lang w:eastAsia="en-US"/>
        </w:rPr>
        <w:t xml:space="preserve">regional FSE </w:t>
      </w:r>
      <w:r w:rsidR="00BB7CB8">
        <w:rPr>
          <w:rFonts w:ascii="Arial" w:eastAsia="Calibri" w:hAnsi="Arial"/>
          <w:szCs w:val="22"/>
          <w:lang w:eastAsia="en-US"/>
        </w:rPr>
        <w:t xml:space="preserve">aún no se haya </w:t>
      </w:r>
      <w:r w:rsidR="00BB7CB8" w:rsidRPr="00D7794A">
        <w:rPr>
          <w:rFonts w:ascii="Arial" w:eastAsia="Calibri" w:hAnsi="Arial"/>
          <w:szCs w:val="22"/>
          <w:lang w:eastAsia="en-US"/>
        </w:rPr>
        <w:t xml:space="preserve">aprobado, </w:t>
      </w:r>
      <w:r w:rsidRPr="00D7794A">
        <w:rPr>
          <w:rFonts w:ascii="Arial" w:eastAsia="Calibri" w:hAnsi="Arial"/>
          <w:szCs w:val="22"/>
          <w:lang w:eastAsia="en-US"/>
        </w:rPr>
        <w:t xml:space="preserve">la toma de contacto con </w:t>
      </w:r>
      <w:r w:rsidR="00BB7CB8" w:rsidRPr="00D7794A">
        <w:rPr>
          <w:rFonts w:ascii="Arial" w:eastAsia="Calibri" w:hAnsi="Arial"/>
          <w:szCs w:val="22"/>
          <w:lang w:eastAsia="en-US"/>
        </w:rPr>
        <w:t xml:space="preserve">la autoridad responsable </w:t>
      </w:r>
      <w:r w:rsidRPr="00D7794A">
        <w:rPr>
          <w:rFonts w:ascii="Arial" w:eastAsia="Calibri" w:hAnsi="Arial"/>
          <w:szCs w:val="22"/>
          <w:lang w:eastAsia="en-US"/>
        </w:rPr>
        <w:t xml:space="preserve">debería hacerse para </w:t>
      </w:r>
      <w:r w:rsidR="00BB7CB8" w:rsidRPr="00D7794A">
        <w:rPr>
          <w:rFonts w:ascii="Arial" w:eastAsia="Calibri" w:hAnsi="Arial"/>
          <w:szCs w:val="22"/>
          <w:u w:val="single"/>
          <w:lang w:eastAsia="en-US"/>
        </w:rPr>
        <w:t>solicitar de manera expresa y formal la intención de participar en el Comité</w:t>
      </w:r>
      <w:r w:rsidR="00AE2BCC">
        <w:rPr>
          <w:rFonts w:ascii="Arial" w:eastAsia="Calibri" w:hAnsi="Arial"/>
          <w:szCs w:val="22"/>
          <w:u w:val="single"/>
          <w:lang w:eastAsia="en-US"/>
        </w:rPr>
        <w:t xml:space="preserve"> del mismo</w:t>
      </w:r>
      <w:r w:rsidR="00AE2BCC" w:rsidRPr="00AE2BCC">
        <w:rPr>
          <w:rFonts w:ascii="Arial" w:eastAsia="Calibri" w:hAnsi="Arial"/>
          <w:szCs w:val="22"/>
          <w:lang w:eastAsia="en-US"/>
        </w:rPr>
        <w:t>, ya sea</w:t>
      </w:r>
      <w:r w:rsidR="007C23EC" w:rsidRPr="00D7794A">
        <w:rPr>
          <w:rFonts w:ascii="Arial" w:eastAsia="Calibri" w:hAnsi="Arial"/>
          <w:szCs w:val="22"/>
          <w:lang w:eastAsia="en-US"/>
        </w:rPr>
        <w:t xml:space="preserve"> en calidad de miembro </w:t>
      </w:r>
      <w:r w:rsidR="00AE2BCC">
        <w:rPr>
          <w:rFonts w:ascii="Arial" w:eastAsia="Calibri" w:hAnsi="Arial"/>
          <w:szCs w:val="22"/>
          <w:lang w:eastAsia="en-US"/>
        </w:rPr>
        <w:t>permanente</w:t>
      </w:r>
      <w:r w:rsidR="00AE2BCC" w:rsidRPr="00D7794A">
        <w:rPr>
          <w:rFonts w:ascii="Arial" w:eastAsia="Calibri" w:hAnsi="Arial"/>
          <w:szCs w:val="22"/>
          <w:lang w:eastAsia="en-US"/>
        </w:rPr>
        <w:t xml:space="preserve"> </w:t>
      </w:r>
      <w:r w:rsidR="00AE2BCC">
        <w:rPr>
          <w:rFonts w:ascii="Arial" w:eastAsia="Calibri" w:hAnsi="Arial"/>
          <w:szCs w:val="22"/>
          <w:lang w:eastAsia="en-US"/>
        </w:rPr>
        <w:t>o</w:t>
      </w:r>
      <w:r w:rsidR="00AE2BCC" w:rsidRPr="00D7794A">
        <w:rPr>
          <w:rFonts w:ascii="Arial" w:eastAsia="Calibri" w:hAnsi="Arial"/>
          <w:szCs w:val="22"/>
          <w:lang w:eastAsia="en-US"/>
        </w:rPr>
        <w:t xml:space="preserve"> </w:t>
      </w:r>
      <w:r w:rsidR="00B463EA" w:rsidRPr="00D7794A">
        <w:rPr>
          <w:rFonts w:ascii="Arial" w:eastAsia="Calibri" w:hAnsi="Arial"/>
          <w:szCs w:val="22"/>
          <w:lang w:eastAsia="en-US"/>
        </w:rPr>
        <w:t>consultivo</w:t>
      </w:r>
      <w:r w:rsidR="00AE2BCC">
        <w:rPr>
          <w:rFonts w:ascii="Arial" w:eastAsia="Calibri" w:hAnsi="Arial"/>
          <w:szCs w:val="22"/>
          <w:lang w:eastAsia="en-US"/>
        </w:rPr>
        <w:t>.</w:t>
      </w:r>
      <w:r w:rsidR="00B463EA" w:rsidRPr="00D7794A">
        <w:rPr>
          <w:rFonts w:ascii="Arial" w:eastAsia="Calibri" w:hAnsi="Arial"/>
          <w:szCs w:val="22"/>
          <w:lang w:eastAsia="en-US"/>
        </w:rPr>
        <w:t xml:space="preserve"> </w:t>
      </w:r>
      <w:r w:rsidR="00BB7CB8" w:rsidRPr="00D7794A">
        <w:rPr>
          <w:rFonts w:ascii="Arial" w:eastAsia="Calibri" w:hAnsi="Arial"/>
          <w:szCs w:val="22"/>
          <w:lang w:eastAsia="en-US"/>
        </w:rPr>
        <w:t xml:space="preserve">Con posterioridad </w:t>
      </w:r>
      <w:r w:rsidRPr="00D7794A">
        <w:rPr>
          <w:rFonts w:ascii="Arial" w:eastAsia="Calibri" w:hAnsi="Arial"/>
          <w:szCs w:val="22"/>
          <w:lang w:eastAsia="en-US"/>
        </w:rPr>
        <w:t xml:space="preserve">sería </w:t>
      </w:r>
      <w:r w:rsidR="00BB7CB8" w:rsidRPr="00D7794A">
        <w:rPr>
          <w:rFonts w:ascii="Arial" w:eastAsia="Calibri" w:hAnsi="Arial"/>
          <w:szCs w:val="22"/>
          <w:lang w:eastAsia="en-US"/>
        </w:rPr>
        <w:t>necesario hacer el pertinente seguimiento para corroborar que</w:t>
      </w:r>
      <w:r w:rsidR="00BB7CB8">
        <w:rPr>
          <w:rFonts w:ascii="Arial" w:eastAsia="Calibri" w:hAnsi="Arial"/>
          <w:szCs w:val="22"/>
          <w:lang w:eastAsia="en-US"/>
        </w:rPr>
        <w:t xml:space="preserve"> </w:t>
      </w:r>
      <w:r>
        <w:rPr>
          <w:rFonts w:ascii="Arial" w:eastAsia="Calibri" w:hAnsi="Arial"/>
          <w:szCs w:val="22"/>
          <w:lang w:eastAsia="en-US"/>
        </w:rPr>
        <w:t xml:space="preserve">el CERMI de la región </w:t>
      </w:r>
      <w:r w:rsidR="00BB7CB8">
        <w:rPr>
          <w:rFonts w:ascii="Arial" w:eastAsia="Calibri" w:hAnsi="Arial"/>
          <w:szCs w:val="22"/>
          <w:lang w:eastAsia="en-US"/>
        </w:rPr>
        <w:t xml:space="preserve">se </w:t>
      </w:r>
      <w:r>
        <w:rPr>
          <w:rFonts w:ascii="Arial" w:eastAsia="Calibri" w:hAnsi="Arial"/>
          <w:szCs w:val="22"/>
          <w:lang w:eastAsia="en-US"/>
        </w:rPr>
        <w:t>incluye</w:t>
      </w:r>
      <w:r w:rsidR="00BB7CB8">
        <w:rPr>
          <w:rFonts w:ascii="Arial" w:eastAsia="Calibri" w:hAnsi="Arial"/>
          <w:szCs w:val="22"/>
          <w:lang w:eastAsia="en-US"/>
        </w:rPr>
        <w:t xml:space="preserve"> en la lista aprobada de organismos miembros del Comité.</w:t>
      </w:r>
    </w:p>
    <w:p w:rsidR="005B7FC2" w:rsidRDefault="00EE72FF" w:rsidP="00B72FB0">
      <w:pPr>
        <w:pStyle w:val="Prrafodelista"/>
        <w:spacing w:line="360" w:lineRule="auto"/>
        <w:ind w:left="426" w:right="283"/>
        <w:rPr>
          <w:rFonts w:ascii="Arial" w:eastAsia="Calibri" w:hAnsi="Arial"/>
          <w:szCs w:val="22"/>
          <w:lang w:eastAsia="en-US"/>
        </w:rPr>
      </w:pPr>
      <w:r>
        <w:rPr>
          <w:rFonts w:ascii="Arial" w:eastAsia="Calibri" w:hAnsi="Arial"/>
          <w:szCs w:val="22"/>
          <w:lang w:eastAsia="en-US"/>
        </w:rPr>
        <w:t xml:space="preserve">El último paso en esta fase previa </w:t>
      </w:r>
      <w:r w:rsidR="000F1A08">
        <w:rPr>
          <w:rFonts w:ascii="Arial" w:eastAsia="Calibri" w:hAnsi="Arial"/>
          <w:szCs w:val="22"/>
          <w:lang w:eastAsia="en-US"/>
        </w:rPr>
        <w:t>consistir</w:t>
      </w:r>
      <w:r>
        <w:rPr>
          <w:rFonts w:ascii="Arial" w:eastAsia="Calibri" w:hAnsi="Arial"/>
          <w:szCs w:val="22"/>
          <w:lang w:eastAsia="en-US"/>
        </w:rPr>
        <w:t xml:space="preserve">á </w:t>
      </w:r>
      <w:r w:rsidR="000F1A08">
        <w:rPr>
          <w:rFonts w:ascii="Arial" w:eastAsia="Calibri" w:hAnsi="Arial"/>
          <w:szCs w:val="22"/>
          <w:lang w:eastAsia="en-US"/>
        </w:rPr>
        <w:t xml:space="preserve">en </w:t>
      </w:r>
      <w:r>
        <w:rPr>
          <w:rFonts w:ascii="Arial" w:eastAsia="Calibri" w:hAnsi="Arial"/>
          <w:szCs w:val="22"/>
          <w:lang w:eastAsia="en-US"/>
        </w:rPr>
        <w:t xml:space="preserve">la </w:t>
      </w:r>
      <w:r w:rsidRPr="005B7FC2">
        <w:rPr>
          <w:rFonts w:ascii="Arial" w:eastAsia="Calibri" w:hAnsi="Arial"/>
          <w:szCs w:val="22"/>
          <w:u w:val="single"/>
          <w:lang w:eastAsia="en-US"/>
        </w:rPr>
        <w:t>asistencia a la reunión inicial de cons</w:t>
      </w:r>
      <w:r w:rsidR="000F1A08" w:rsidRPr="005B7FC2">
        <w:rPr>
          <w:rFonts w:ascii="Arial" w:eastAsia="Calibri" w:hAnsi="Arial"/>
          <w:szCs w:val="22"/>
          <w:u w:val="single"/>
          <w:lang w:eastAsia="en-US"/>
        </w:rPr>
        <w:t>titución del Comité</w:t>
      </w:r>
      <w:r w:rsidR="000F1A08">
        <w:rPr>
          <w:rFonts w:ascii="Arial" w:eastAsia="Calibri" w:hAnsi="Arial"/>
          <w:szCs w:val="22"/>
          <w:lang w:eastAsia="en-US"/>
        </w:rPr>
        <w:t xml:space="preserve"> e involucración</w:t>
      </w:r>
      <w:r>
        <w:rPr>
          <w:rFonts w:ascii="Arial" w:eastAsia="Calibri" w:hAnsi="Arial"/>
          <w:szCs w:val="22"/>
          <w:lang w:eastAsia="en-US"/>
        </w:rPr>
        <w:t xml:space="preserve"> en los trabajos de redacción del reglamento interno</w:t>
      </w:r>
      <w:r w:rsidR="001B533C">
        <w:rPr>
          <w:rFonts w:ascii="Arial" w:eastAsia="Calibri" w:hAnsi="Arial"/>
          <w:szCs w:val="22"/>
          <w:lang w:eastAsia="en-US"/>
        </w:rPr>
        <w:t xml:space="preserve">, </w:t>
      </w:r>
      <w:r w:rsidR="00566FC5">
        <w:rPr>
          <w:rFonts w:ascii="Arial" w:eastAsia="Calibri" w:hAnsi="Arial"/>
          <w:szCs w:val="22"/>
          <w:lang w:eastAsia="en-US"/>
        </w:rPr>
        <w:t>bien sea como miembro permanente o consultivo</w:t>
      </w:r>
      <w:r>
        <w:rPr>
          <w:rFonts w:ascii="Arial" w:eastAsia="Calibri" w:hAnsi="Arial"/>
          <w:szCs w:val="22"/>
          <w:lang w:eastAsia="en-US"/>
        </w:rPr>
        <w:t xml:space="preserve"> de dicha estructura.</w:t>
      </w:r>
    </w:p>
    <w:p w:rsidR="006F3451" w:rsidRPr="008727C2" w:rsidRDefault="00C41C25" w:rsidP="00B72FB0">
      <w:pPr>
        <w:pStyle w:val="Prrafodelista"/>
        <w:numPr>
          <w:ilvl w:val="0"/>
          <w:numId w:val="32"/>
        </w:numPr>
        <w:spacing w:line="360" w:lineRule="auto"/>
        <w:ind w:left="426" w:right="283" w:hanging="357"/>
        <w:rPr>
          <w:rFonts w:ascii="Arial" w:eastAsia="Calibri" w:hAnsi="Arial"/>
          <w:szCs w:val="22"/>
          <w:lang w:eastAsia="en-US"/>
        </w:rPr>
      </w:pPr>
      <w:r w:rsidRPr="00EE72FF">
        <w:rPr>
          <w:rFonts w:ascii="Arial" w:eastAsia="Calibri" w:hAnsi="Arial"/>
          <w:b/>
          <w:szCs w:val="22"/>
          <w:lang w:eastAsia="en-US"/>
        </w:rPr>
        <w:t>Hacerse presentes</w:t>
      </w:r>
      <w:r w:rsidR="009026E4">
        <w:rPr>
          <w:rFonts w:ascii="Arial" w:eastAsia="Calibri" w:hAnsi="Arial"/>
          <w:b/>
          <w:szCs w:val="22"/>
          <w:lang w:eastAsia="en-US"/>
        </w:rPr>
        <w:t>,</w:t>
      </w:r>
      <w:r w:rsidRPr="00EE72FF">
        <w:rPr>
          <w:rFonts w:ascii="Arial" w:eastAsia="Calibri" w:hAnsi="Arial"/>
          <w:b/>
          <w:szCs w:val="22"/>
          <w:lang w:eastAsia="en-US"/>
        </w:rPr>
        <w:t xml:space="preserve"> visibles</w:t>
      </w:r>
      <w:r w:rsidR="009026E4">
        <w:rPr>
          <w:rFonts w:ascii="Arial" w:eastAsia="Calibri" w:hAnsi="Arial"/>
          <w:b/>
          <w:szCs w:val="22"/>
          <w:lang w:eastAsia="en-US"/>
        </w:rPr>
        <w:t xml:space="preserve"> y participar activamente</w:t>
      </w:r>
      <w:r>
        <w:rPr>
          <w:rFonts w:ascii="Arial" w:eastAsia="Calibri" w:hAnsi="Arial"/>
          <w:szCs w:val="22"/>
          <w:lang w:eastAsia="en-US"/>
        </w:rPr>
        <w:t xml:space="preserve">. </w:t>
      </w:r>
      <w:r w:rsidR="00EE72FF">
        <w:rPr>
          <w:rFonts w:ascii="Arial" w:eastAsia="Calibri" w:hAnsi="Arial"/>
          <w:szCs w:val="22"/>
          <w:lang w:eastAsia="en-US"/>
        </w:rPr>
        <w:t xml:space="preserve">El principal valor añadido de convertirse en miembro y asistir a las reuniones de los Comités de Seguimiento es </w:t>
      </w:r>
      <w:r w:rsidR="00417934">
        <w:rPr>
          <w:rFonts w:ascii="Arial" w:eastAsia="Calibri" w:hAnsi="Arial"/>
          <w:szCs w:val="22"/>
          <w:lang w:eastAsia="en-US"/>
        </w:rPr>
        <w:t>la posibilidad de `hacerse ver´</w:t>
      </w:r>
      <w:r w:rsidR="000F1A08">
        <w:rPr>
          <w:rFonts w:ascii="Arial" w:eastAsia="Calibri" w:hAnsi="Arial"/>
          <w:szCs w:val="22"/>
          <w:lang w:eastAsia="en-US"/>
        </w:rPr>
        <w:t xml:space="preserve"> y `hacerse oír´</w:t>
      </w:r>
      <w:r w:rsidR="003E248D">
        <w:rPr>
          <w:rFonts w:ascii="Arial" w:eastAsia="Calibri" w:hAnsi="Arial"/>
          <w:szCs w:val="22"/>
          <w:lang w:eastAsia="en-US"/>
        </w:rPr>
        <w:t xml:space="preserve">, poder formular alegaciones a la autoridad de gestión acerca de la ejecución y </w:t>
      </w:r>
      <w:r w:rsidR="00193A2C">
        <w:rPr>
          <w:rFonts w:ascii="Arial" w:eastAsia="Calibri" w:hAnsi="Arial"/>
          <w:szCs w:val="22"/>
          <w:lang w:eastAsia="en-US"/>
        </w:rPr>
        <w:t>evaluación</w:t>
      </w:r>
      <w:r w:rsidR="003E248D">
        <w:rPr>
          <w:rFonts w:ascii="Arial" w:eastAsia="Calibri" w:hAnsi="Arial"/>
          <w:szCs w:val="22"/>
          <w:lang w:eastAsia="en-US"/>
        </w:rPr>
        <w:t xml:space="preserve"> del programa, incluidas la</w:t>
      </w:r>
      <w:r w:rsidR="009026E4">
        <w:rPr>
          <w:rFonts w:ascii="Arial" w:eastAsia="Calibri" w:hAnsi="Arial"/>
          <w:szCs w:val="22"/>
          <w:lang w:eastAsia="en-US"/>
        </w:rPr>
        <w:t xml:space="preserve">s </w:t>
      </w:r>
      <w:r w:rsidR="00193A2C">
        <w:rPr>
          <w:rFonts w:ascii="Arial" w:eastAsia="Calibri" w:hAnsi="Arial"/>
          <w:szCs w:val="22"/>
          <w:lang w:eastAsia="en-US"/>
        </w:rPr>
        <w:t>acciones</w:t>
      </w:r>
      <w:r w:rsidR="003E248D">
        <w:rPr>
          <w:rFonts w:ascii="Arial" w:eastAsia="Calibri" w:hAnsi="Arial"/>
          <w:szCs w:val="22"/>
          <w:lang w:eastAsia="en-US"/>
        </w:rPr>
        <w:t xml:space="preserve"> dirigidas a reducir la carga administrativa para los beneficiarios</w:t>
      </w:r>
      <w:r w:rsidR="001B533C">
        <w:rPr>
          <w:rFonts w:ascii="Arial" w:eastAsia="Calibri" w:hAnsi="Arial"/>
          <w:szCs w:val="22"/>
          <w:lang w:eastAsia="en-US"/>
        </w:rPr>
        <w:t>.</w:t>
      </w:r>
      <w:r w:rsidR="00417934">
        <w:rPr>
          <w:rFonts w:ascii="Arial" w:eastAsia="Calibri" w:hAnsi="Arial"/>
          <w:szCs w:val="22"/>
          <w:lang w:eastAsia="en-US"/>
        </w:rPr>
        <w:t xml:space="preserve"> Siendo lugares donde el margen de maniobra, como se ha visto, no es muy amplio, el principal rol de los CERMI </w:t>
      </w:r>
      <w:r w:rsidR="001B533C">
        <w:rPr>
          <w:rFonts w:ascii="Arial" w:eastAsia="Calibri" w:hAnsi="Arial"/>
          <w:szCs w:val="22"/>
          <w:lang w:eastAsia="en-US"/>
        </w:rPr>
        <w:t xml:space="preserve">autonómicos </w:t>
      </w:r>
      <w:r w:rsidR="00417934">
        <w:rPr>
          <w:rFonts w:ascii="Arial" w:eastAsia="Calibri" w:hAnsi="Arial"/>
          <w:szCs w:val="22"/>
          <w:lang w:eastAsia="en-US"/>
        </w:rPr>
        <w:t xml:space="preserve">es </w:t>
      </w:r>
      <w:r w:rsidR="009026E4">
        <w:rPr>
          <w:rFonts w:ascii="Arial" w:eastAsia="Calibri" w:hAnsi="Arial"/>
          <w:szCs w:val="22"/>
          <w:lang w:eastAsia="en-US"/>
        </w:rPr>
        <w:t>asistir a las reuniones</w:t>
      </w:r>
      <w:r w:rsidR="00417934">
        <w:rPr>
          <w:rFonts w:ascii="Arial" w:eastAsia="Calibri" w:hAnsi="Arial"/>
          <w:szCs w:val="22"/>
          <w:lang w:eastAsia="en-US"/>
        </w:rPr>
        <w:t xml:space="preserve">, </w:t>
      </w:r>
      <w:r w:rsidR="009026E4">
        <w:rPr>
          <w:rFonts w:ascii="Arial" w:eastAsia="Calibri" w:hAnsi="Arial"/>
          <w:szCs w:val="22"/>
          <w:lang w:eastAsia="en-US"/>
        </w:rPr>
        <w:t>realizar contribuciones que garanticen los intereses de las personas con discapacidad</w:t>
      </w:r>
      <w:r w:rsidR="00417934">
        <w:rPr>
          <w:rFonts w:ascii="Arial" w:eastAsia="Calibri" w:hAnsi="Arial"/>
          <w:szCs w:val="22"/>
          <w:lang w:eastAsia="en-US"/>
        </w:rPr>
        <w:t xml:space="preserve">, </w:t>
      </w:r>
      <w:r w:rsidR="001B533C">
        <w:rPr>
          <w:rFonts w:ascii="Arial" w:eastAsia="Calibri" w:hAnsi="Arial"/>
          <w:szCs w:val="22"/>
          <w:lang w:eastAsia="en-US"/>
        </w:rPr>
        <w:t xml:space="preserve">ser partícipes de la toma de decisiones – en la medida de lo posible -, </w:t>
      </w:r>
      <w:r w:rsidR="00417934">
        <w:rPr>
          <w:rFonts w:ascii="Arial" w:eastAsia="Calibri" w:hAnsi="Arial"/>
          <w:szCs w:val="22"/>
          <w:lang w:eastAsia="en-US"/>
        </w:rPr>
        <w:t>preguntar, opinar</w:t>
      </w:r>
      <w:r w:rsidR="001B533C">
        <w:rPr>
          <w:rFonts w:ascii="Arial" w:eastAsia="Calibri" w:hAnsi="Arial"/>
          <w:szCs w:val="22"/>
          <w:lang w:eastAsia="en-US"/>
        </w:rPr>
        <w:t xml:space="preserve">, </w:t>
      </w:r>
      <w:r w:rsidR="009026E4">
        <w:rPr>
          <w:rFonts w:ascii="Arial" w:eastAsia="Calibri" w:hAnsi="Arial"/>
          <w:szCs w:val="22"/>
          <w:lang w:eastAsia="en-US"/>
        </w:rPr>
        <w:t xml:space="preserve">en definitiva </w:t>
      </w:r>
      <w:r w:rsidR="00417934">
        <w:rPr>
          <w:rFonts w:ascii="Arial" w:eastAsia="Calibri" w:hAnsi="Arial"/>
          <w:szCs w:val="22"/>
          <w:lang w:eastAsia="en-US"/>
        </w:rPr>
        <w:t>participar activamente</w:t>
      </w:r>
      <w:r w:rsidR="001B533C">
        <w:rPr>
          <w:rFonts w:ascii="Arial" w:eastAsia="Calibri" w:hAnsi="Arial"/>
          <w:szCs w:val="22"/>
          <w:lang w:eastAsia="en-US"/>
        </w:rPr>
        <w:t>.</w:t>
      </w:r>
      <w:r w:rsidR="003E248D">
        <w:rPr>
          <w:rFonts w:ascii="Arial" w:eastAsia="Calibri" w:hAnsi="Arial"/>
          <w:szCs w:val="22"/>
          <w:lang w:eastAsia="en-US"/>
        </w:rPr>
        <w:t xml:space="preserve"> </w:t>
      </w:r>
      <w:r w:rsidR="00417934">
        <w:rPr>
          <w:rFonts w:ascii="Arial" w:eastAsia="Calibri" w:hAnsi="Arial"/>
          <w:szCs w:val="22"/>
          <w:lang w:eastAsia="en-US"/>
        </w:rPr>
        <w:t>En síntesis, visibilizar a las personas con discapacidad y sus intereses mediante la puesta en relieve de la necesidad de garantizar la igualdad de trato en la ejecución de las actuaciones y la accesibilidad como enfoque transversal a las mismas.</w:t>
      </w:r>
      <w:r w:rsidR="008A49F9">
        <w:rPr>
          <w:rFonts w:ascii="Arial" w:eastAsia="Calibri" w:hAnsi="Arial"/>
          <w:szCs w:val="22"/>
          <w:lang w:eastAsia="en-US"/>
        </w:rPr>
        <w:t xml:space="preserve"> </w:t>
      </w:r>
    </w:p>
    <w:p w:rsidR="00C41C25" w:rsidRDefault="00C41C25" w:rsidP="00B72FB0">
      <w:pPr>
        <w:pStyle w:val="Prrafodelista"/>
        <w:numPr>
          <w:ilvl w:val="0"/>
          <w:numId w:val="32"/>
        </w:numPr>
        <w:spacing w:line="360" w:lineRule="auto"/>
        <w:ind w:left="426" w:right="283" w:hanging="357"/>
        <w:rPr>
          <w:rFonts w:ascii="Arial" w:eastAsia="Calibri" w:hAnsi="Arial"/>
          <w:szCs w:val="22"/>
          <w:lang w:eastAsia="en-US"/>
        </w:rPr>
      </w:pPr>
      <w:r w:rsidRPr="00EE72FF">
        <w:rPr>
          <w:rFonts w:ascii="Arial" w:eastAsia="Calibri" w:hAnsi="Arial"/>
          <w:b/>
          <w:szCs w:val="22"/>
          <w:lang w:eastAsia="en-US"/>
        </w:rPr>
        <w:t>Informarse</w:t>
      </w:r>
      <w:r>
        <w:rPr>
          <w:rFonts w:ascii="Arial" w:eastAsia="Calibri" w:hAnsi="Arial"/>
          <w:szCs w:val="22"/>
          <w:lang w:eastAsia="en-US"/>
        </w:rPr>
        <w:t>.</w:t>
      </w:r>
      <w:r w:rsidR="00417934">
        <w:rPr>
          <w:rFonts w:ascii="Arial" w:eastAsia="Calibri" w:hAnsi="Arial"/>
          <w:szCs w:val="22"/>
          <w:lang w:eastAsia="en-US"/>
        </w:rPr>
        <w:t xml:space="preserve"> El Comité constituye un foro privilegiado de acceso a la información relativa a los F</w:t>
      </w:r>
      <w:r w:rsidR="0064621C">
        <w:rPr>
          <w:rFonts w:ascii="Arial" w:eastAsia="Calibri" w:hAnsi="Arial"/>
          <w:szCs w:val="22"/>
          <w:lang w:eastAsia="en-US"/>
        </w:rPr>
        <w:t xml:space="preserve">ondos </w:t>
      </w:r>
      <w:r w:rsidR="00417934">
        <w:rPr>
          <w:rFonts w:ascii="Arial" w:eastAsia="Calibri" w:hAnsi="Arial"/>
          <w:szCs w:val="22"/>
          <w:lang w:eastAsia="en-US"/>
        </w:rPr>
        <w:t xml:space="preserve">EIE y su ejecución. Pero también de acceso directo a los principales actores institucionales y sociales con responsabilidad en las diferentes fases de aplicación. </w:t>
      </w:r>
      <w:r w:rsidR="00217CD3">
        <w:rPr>
          <w:rFonts w:ascii="Arial" w:eastAsia="Calibri" w:hAnsi="Arial"/>
          <w:szCs w:val="22"/>
          <w:lang w:eastAsia="en-US"/>
        </w:rPr>
        <w:t xml:space="preserve">Así pues, además de asistir a las reuniones es importante participar por vía telemática y hacer </w:t>
      </w:r>
      <w:r w:rsidR="000F1A08">
        <w:rPr>
          <w:rFonts w:ascii="Arial" w:eastAsia="Calibri" w:hAnsi="Arial"/>
          <w:szCs w:val="22"/>
          <w:lang w:eastAsia="en-US"/>
        </w:rPr>
        <w:t xml:space="preserve">un </w:t>
      </w:r>
      <w:r w:rsidR="00217CD3">
        <w:rPr>
          <w:rFonts w:ascii="Arial" w:eastAsia="Calibri" w:hAnsi="Arial"/>
          <w:szCs w:val="22"/>
          <w:lang w:eastAsia="en-US"/>
        </w:rPr>
        <w:t xml:space="preserve">adecuado uso de la información para poder actuar de manera más eficaz </w:t>
      </w:r>
      <w:r w:rsidR="00495ACE">
        <w:rPr>
          <w:rFonts w:ascii="Arial" w:eastAsia="Calibri" w:hAnsi="Arial"/>
          <w:szCs w:val="22"/>
          <w:lang w:eastAsia="en-US"/>
        </w:rPr>
        <w:t>en</w:t>
      </w:r>
      <w:r w:rsidR="00217CD3">
        <w:rPr>
          <w:rFonts w:ascii="Arial" w:eastAsia="Calibri" w:hAnsi="Arial"/>
          <w:szCs w:val="22"/>
          <w:lang w:eastAsia="en-US"/>
        </w:rPr>
        <w:t xml:space="preserve"> favor de las personas con discapacidad. </w:t>
      </w:r>
    </w:p>
    <w:p w:rsidR="000F1A08" w:rsidRDefault="00C41C25" w:rsidP="00B72FB0">
      <w:pPr>
        <w:pStyle w:val="Prrafodelista"/>
        <w:numPr>
          <w:ilvl w:val="0"/>
          <w:numId w:val="32"/>
        </w:numPr>
        <w:spacing w:line="360" w:lineRule="auto"/>
        <w:ind w:left="426" w:right="283" w:hanging="357"/>
        <w:rPr>
          <w:rFonts w:ascii="Arial" w:eastAsia="Calibri" w:hAnsi="Arial"/>
          <w:szCs w:val="22"/>
          <w:lang w:eastAsia="en-US"/>
        </w:rPr>
      </w:pPr>
      <w:r w:rsidRPr="00EE72FF">
        <w:rPr>
          <w:rFonts w:ascii="Arial" w:eastAsia="Calibri" w:hAnsi="Arial"/>
          <w:b/>
          <w:szCs w:val="22"/>
          <w:lang w:eastAsia="en-US"/>
        </w:rPr>
        <w:t>Poner en valor su legitimidad</w:t>
      </w:r>
      <w:r>
        <w:rPr>
          <w:rFonts w:ascii="Arial" w:eastAsia="Calibri" w:hAnsi="Arial"/>
          <w:szCs w:val="22"/>
          <w:lang w:eastAsia="en-US"/>
        </w:rPr>
        <w:t>.</w:t>
      </w:r>
      <w:r w:rsidR="00217CD3">
        <w:rPr>
          <w:rFonts w:ascii="Arial" w:eastAsia="Calibri" w:hAnsi="Arial"/>
          <w:szCs w:val="22"/>
          <w:lang w:eastAsia="en-US"/>
        </w:rPr>
        <w:t xml:space="preserve"> </w:t>
      </w:r>
      <w:r w:rsidR="007B1D0D">
        <w:rPr>
          <w:rFonts w:ascii="Arial" w:eastAsia="Calibri" w:hAnsi="Arial"/>
          <w:szCs w:val="22"/>
          <w:lang w:eastAsia="en-US"/>
        </w:rPr>
        <w:t>Como ya se ha comentado la trayectoria previa del CERMI</w:t>
      </w:r>
      <w:r w:rsidR="000F1A08">
        <w:rPr>
          <w:rFonts w:ascii="Arial" w:eastAsia="Calibri" w:hAnsi="Arial"/>
          <w:szCs w:val="22"/>
          <w:lang w:eastAsia="en-US"/>
        </w:rPr>
        <w:t>, tanto en el ámbito nacional como autonómico,</w:t>
      </w:r>
      <w:r w:rsidR="007B1D0D">
        <w:rPr>
          <w:rFonts w:ascii="Arial" w:eastAsia="Calibri" w:hAnsi="Arial"/>
          <w:szCs w:val="22"/>
          <w:lang w:eastAsia="en-US"/>
        </w:rPr>
        <w:t xml:space="preserve"> legitima su participación en los Comités de Seguimiento como organización acreditada para la defensa de los derechos y de los intereses de las personas con discapacidad. </w:t>
      </w:r>
    </w:p>
    <w:p w:rsidR="006F3451" w:rsidRPr="008727C2" w:rsidRDefault="00460EBD" w:rsidP="00B72FB0">
      <w:pPr>
        <w:pStyle w:val="Prrafodelista"/>
        <w:spacing w:line="360" w:lineRule="auto"/>
        <w:ind w:left="426" w:right="283"/>
        <w:rPr>
          <w:rFonts w:ascii="Arial" w:eastAsia="Calibri" w:hAnsi="Arial"/>
          <w:szCs w:val="22"/>
          <w:lang w:eastAsia="en-US"/>
        </w:rPr>
      </w:pPr>
      <w:r>
        <w:rPr>
          <w:rFonts w:ascii="Arial" w:eastAsia="Calibri" w:hAnsi="Arial"/>
          <w:szCs w:val="22"/>
          <w:lang w:eastAsia="en-US"/>
        </w:rPr>
        <w:t xml:space="preserve">En ese sentido, cada CERMI autonómico debe hacer una apuesta estratégica por ocupar ese espacio vacío en los Comités y, sustentando su trabajo de incidencia en las disposiciones alusivas de los Reglamentos comunitarios del período, supervisar la efectiva aplicación de </w:t>
      </w:r>
      <w:r w:rsidR="00495ACE">
        <w:rPr>
          <w:rFonts w:ascii="Arial" w:eastAsia="Calibri" w:hAnsi="Arial"/>
          <w:szCs w:val="22"/>
          <w:lang w:eastAsia="en-US"/>
        </w:rPr>
        <w:t xml:space="preserve">la accesibilidad y la igualdad de trato de las personas con discapacidad en todas las actuaciones cofinanciadas por el FSE en cada región. </w:t>
      </w:r>
    </w:p>
    <w:p w:rsidR="00495ACE" w:rsidRDefault="00C41C25" w:rsidP="00B72FB0">
      <w:pPr>
        <w:pStyle w:val="Prrafodelista"/>
        <w:numPr>
          <w:ilvl w:val="0"/>
          <w:numId w:val="32"/>
        </w:numPr>
        <w:spacing w:line="360" w:lineRule="auto"/>
        <w:ind w:left="426" w:right="283" w:hanging="357"/>
        <w:rPr>
          <w:rFonts w:ascii="Arial" w:eastAsia="Calibri" w:hAnsi="Arial"/>
          <w:szCs w:val="22"/>
          <w:lang w:eastAsia="en-US"/>
        </w:rPr>
      </w:pPr>
      <w:r w:rsidRPr="00EE72FF">
        <w:rPr>
          <w:rFonts w:ascii="Arial" w:eastAsia="Calibri" w:hAnsi="Arial"/>
          <w:b/>
          <w:szCs w:val="22"/>
          <w:lang w:eastAsia="en-US"/>
        </w:rPr>
        <w:t>Establecer contactos, relacionarse, crear redes</w:t>
      </w:r>
      <w:r>
        <w:rPr>
          <w:rFonts w:ascii="Arial" w:eastAsia="Calibri" w:hAnsi="Arial"/>
          <w:szCs w:val="22"/>
          <w:lang w:eastAsia="en-US"/>
        </w:rPr>
        <w:t>.</w:t>
      </w:r>
      <w:r w:rsidR="00495ACE">
        <w:rPr>
          <w:rFonts w:ascii="Arial" w:eastAsia="Calibri" w:hAnsi="Arial"/>
          <w:szCs w:val="22"/>
          <w:lang w:eastAsia="en-US"/>
        </w:rPr>
        <w:t xml:space="preserve"> El Comité de Seguimiento es el lugar idóneo para establecer contactos y relaciones con los principales organismos implicados en la gestión de los Fondos y hacerles llegar los mensajes deseados. En ese sentido los CERMI han de tratar de capitalizar esta circunstancia desde una actitud de proactividad. </w:t>
      </w:r>
    </w:p>
    <w:p w:rsidR="006F3451" w:rsidRPr="008727C2" w:rsidRDefault="00495ACE" w:rsidP="00B72FB0">
      <w:pPr>
        <w:pStyle w:val="Prrafodelista"/>
        <w:spacing w:line="360" w:lineRule="auto"/>
        <w:ind w:left="426" w:right="283"/>
        <w:rPr>
          <w:rFonts w:ascii="Arial" w:eastAsia="Calibri" w:hAnsi="Arial"/>
          <w:szCs w:val="22"/>
          <w:lang w:eastAsia="en-US"/>
        </w:rPr>
      </w:pPr>
      <w:r>
        <w:rPr>
          <w:rFonts w:ascii="Arial" w:eastAsia="Calibri" w:hAnsi="Arial"/>
          <w:szCs w:val="22"/>
          <w:lang w:eastAsia="en-US"/>
        </w:rPr>
        <w:t xml:space="preserve">Asimismo en el Comité pueden encontrarse </w:t>
      </w:r>
      <w:r w:rsidRPr="006F3451">
        <w:rPr>
          <w:rFonts w:ascii="Arial" w:eastAsia="Calibri" w:hAnsi="Arial"/>
          <w:szCs w:val="22"/>
          <w:u w:val="single"/>
          <w:lang w:eastAsia="en-US"/>
        </w:rPr>
        <w:t>aliados entre otras entidades de la sociedad civil</w:t>
      </w:r>
      <w:r>
        <w:rPr>
          <w:rFonts w:ascii="Arial" w:eastAsia="Calibri" w:hAnsi="Arial"/>
          <w:szCs w:val="22"/>
          <w:lang w:eastAsia="en-US"/>
        </w:rPr>
        <w:t xml:space="preserve"> y organismos que velan por la adecuada incorporación de la igualdad de oportunidades como principio transversal, con los que pueden encontrarse sinergias en la salvaguarda de los principios de igualdad de trato y accesibilidad universal. </w:t>
      </w:r>
    </w:p>
    <w:p w:rsidR="00C41C25" w:rsidRPr="00B16C4F" w:rsidRDefault="00C51853" w:rsidP="00B72FB0">
      <w:pPr>
        <w:pStyle w:val="Prrafodelista"/>
        <w:numPr>
          <w:ilvl w:val="0"/>
          <w:numId w:val="32"/>
        </w:numPr>
        <w:spacing w:line="360" w:lineRule="auto"/>
        <w:ind w:left="426" w:right="283" w:hanging="357"/>
        <w:rPr>
          <w:rFonts w:ascii="Arial" w:eastAsia="Calibri" w:hAnsi="Arial"/>
          <w:szCs w:val="22"/>
          <w:lang w:eastAsia="en-US"/>
        </w:rPr>
      </w:pPr>
      <w:r>
        <w:rPr>
          <w:rFonts w:ascii="Arial" w:eastAsia="Calibri" w:hAnsi="Arial"/>
          <w:b/>
          <w:szCs w:val="22"/>
          <w:lang w:eastAsia="en-US"/>
        </w:rPr>
        <w:t>Ejercer una influencia política bien entendida</w:t>
      </w:r>
      <w:r w:rsidR="00C41C25">
        <w:rPr>
          <w:rFonts w:ascii="Arial" w:eastAsia="Calibri" w:hAnsi="Arial"/>
          <w:szCs w:val="22"/>
          <w:lang w:eastAsia="en-US"/>
        </w:rPr>
        <w:t xml:space="preserve">. </w:t>
      </w:r>
      <w:r w:rsidR="00741161" w:rsidRPr="00B16C4F">
        <w:rPr>
          <w:rFonts w:ascii="Arial" w:eastAsia="Calibri" w:hAnsi="Arial"/>
          <w:szCs w:val="22"/>
          <w:lang w:eastAsia="en-US"/>
        </w:rPr>
        <w:t>En la tarea de ejercer incidencia política es posible adoptar estrategias de actuación más o menos agresivas para conseguir los objetivos propuestos.</w:t>
      </w:r>
    </w:p>
    <w:p w:rsidR="00C51853" w:rsidRPr="00D7794A" w:rsidRDefault="000772A8" w:rsidP="00B72FB0">
      <w:pPr>
        <w:pStyle w:val="Prrafodelista"/>
        <w:spacing w:line="360" w:lineRule="auto"/>
        <w:ind w:left="426" w:right="283"/>
        <w:rPr>
          <w:rFonts w:ascii="Arial" w:eastAsia="Calibri" w:hAnsi="Arial"/>
          <w:szCs w:val="22"/>
          <w:lang w:eastAsia="en-US"/>
        </w:rPr>
      </w:pPr>
      <w:r w:rsidRPr="000772A8">
        <w:rPr>
          <w:rFonts w:ascii="Arial" w:eastAsia="Calibri" w:hAnsi="Arial"/>
          <w:szCs w:val="22"/>
          <w:lang w:eastAsia="en-US"/>
        </w:rPr>
        <w:t xml:space="preserve">En el caso de la asistencia a </w:t>
      </w:r>
      <w:r>
        <w:rPr>
          <w:rFonts w:ascii="Arial" w:eastAsia="Calibri" w:hAnsi="Arial"/>
          <w:szCs w:val="22"/>
          <w:lang w:eastAsia="en-US"/>
        </w:rPr>
        <w:t xml:space="preserve">las reuniones de los </w:t>
      </w:r>
      <w:r w:rsidRPr="000772A8">
        <w:rPr>
          <w:rFonts w:ascii="Arial" w:eastAsia="Calibri" w:hAnsi="Arial"/>
          <w:szCs w:val="22"/>
          <w:lang w:eastAsia="en-US"/>
        </w:rPr>
        <w:t xml:space="preserve">Comités de Seguimiento </w:t>
      </w:r>
      <w:r>
        <w:rPr>
          <w:rFonts w:ascii="Arial" w:eastAsia="Calibri" w:hAnsi="Arial"/>
          <w:szCs w:val="22"/>
          <w:lang w:eastAsia="en-US"/>
        </w:rPr>
        <w:t>la me</w:t>
      </w:r>
      <w:r w:rsidR="00C51853">
        <w:rPr>
          <w:rFonts w:ascii="Arial" w:eastAsia="Calibri" w:hAnsi="Arial"/>
          <w:szCs w:val="22"/>
          <w:lang w:eastAsia="en-US"/>
        </w:rPr>
        <w:t xml:space="preserve">jor estrategia para los CERMI consiste en contribuir, hacer aportaciones y enriquecer con su trabajo tanto el contenido de las reuniones, como de los documentos de trabajo así como de las posibles modificaciones que puedan desarrollarse. Esa noble incidencia política es la mejor vía, las más efectiva, para conseguir efectivamente que se contemple en </w:t>
      </w:r>
      <w:r w:rsidR="00C51853" w:rsidRPr="00D7794A">
        <w:rPr>
          <w:rFonts w:ascii="Arial" w:eastAsia="Calibri" w:hAnsi="Arial"/>
          <w:szCs w:val="22"/>
          <w:lang w:eastAsia="en-US"/>
        </w:rPr>
        <w:t>el marco de los Fondos EIE la defensa de los derechos e intereses de las personas con discapacidad.</w:t>
      </w:r>
      <w:r w:rsidR="008A49F9">
        <w:rPr>
          <w:rFonts w:ascii="Arial" w:eastAsia="Calibri" w:hAnsi="Arial"/>
          <w:szCs w:val="22"/>
          <w:lang w:eastAsia="en-US"/>
        </w:rPr>
        <w:t xml:space="preserve">  </w:t>
      </w:r>
    </w:p>
    <w:p w:rsidR="0080664E" w:rsidRPr="008727C2" w:rsidRDefault="00C51853" w:rsidP="00B72FB0">
      <w:pPr>
        <w:pStyle w:val="Prrafodelista"/>
        <w:spacing w:line="360" w:lineRule="auto"/>
        <w:ind w:left="426" w:right="283"/>
        <w:rPr>
          <w:rFonts w:ascii="Arial" w:eastAsia="Calibri" w:hAnsi="Arial"/>
          <w:szCs w:val="22"/>
          <w:lang w:eastAsia="en-US"/>
        </w:rPr>
      </w:pPr>
      <w:r w:rsidRPr="00D7794A">
        <w:rPr>
          <w:rFonts w:ascii="Arial" w:eastAsia="Calibri" w:hAnsi="Arial"/>
          <w:szCs w:val="22"/>
          <w:lang w:eastAsia="en-US"/>
        </w:rPr>
        <w:t xml:space="preserve">La beligerancia no es un camino útil para la consecución de objetivos operativos ante los organismos responsables. Tampoco ante la </w:t>
      </w:r>
      <w:r w:rsidR="000772A8" w:rsidRPr="00D7794A">
        <w:rPr>
          <w:rFonts w:ascii="Arial" w:eastAsia="Calibri" w:hAnsi="Arial"/>
          <w:szCs w:val="22"/>
          <w:lang w:eastAsia="en-US"/>
        </w:rPr>
        <w:t>Comisión Europea. El Comité de Seguimiento no debe contemplarse como lugar de controversia ni de reivindicación sino de aprendizaje y observación, de toma de contacto con otros agentes y organismos y de establecimiento de relaciones</w:t>
      </w:r>
      <w:r w:rsidR="000772A8">
        <w:rPr>
          <w:rFonts w:ascii="Arial" w:eastAsia="Calibri" w:hAnsi="Arial"/>
          <w:szCs w:val="22"/>
          <w:lang w:eastAsia="en-US"/>
        </w:rPr>
        <w:t xml:space="preserve">, siempre desde una actitud de cordial firmeza en la defensa de los propios intereses. </w:t>
      </w:r>
      <w:r w:rsidR="00C14A5B">
        <w:rPr>
          <w:rFonts w:ascii="Arial" w:eastAsia="Calibri" w:hAnsi="Arial"/>
          <w:szCs w:val="22"/>
          <w:lang w:eastAsia="en-US"/>
        </w:rPr>
        <w:t>En este sentido un “lenguaje amable y conciliador” será la mejor herramienta a la hora de que nuestras aportaciones sean tenidas en cuenta.</w:t>
      </w:r>
    </w:p>
    <w:p w:rsidR="00C41C25" w:rsidRDefault="00C41C25" w:rsidP="00B72FB0">
      <w:pPr>
        <w:pStyle w:val="Prrafodelista"/>
        <w:numPr>
          <w:ilvl w:val="0"/>
          <w:numId w:val="32"/>
        </w:numPr>
        <w:spacing w:line="360" w:lineRule="auto"/>
        <w:ind w:left="426" w:right="283" w:hanging="357"/>
        <w:rPr>
          <w:rFonts w:ascii="Arial" w:eastAsia="Calibri" w:hAnsi="Arial"/>
          <w:szCs w:val="22"/>
          <w:lang w:eastAsia="en-US"/>
        </w:rPr>
      </w:pPr>
      <w:r w:rsidRPr="00EE72FF">
        <w:rPr>
          <w:rFonts w:ascii="Arial" w:eastAsia="Calibri" w:hAnsi="Arial"/>
          <w:b/>
          <w:szCs w:val="22"/>
          <w:lang w:eastAsia="en-US"/>
        </w:rPr>
        <w:t>Contribuir a la definición de criterios de selección de operaciones</w:t>
      </w:r>
      <w:r>
        <w:rPr>
          <w:rFonts w:ascii="Arial" w:eastAsia="Calibri" w:hAnsi="Arial"/>
          <w:szCs w:val="22"/>
          <w:lang w:eastAsia="en-US"/>
        </w:rPr>
        <w:t>.</w:t>
      </w:r>
      <w:r w:rsidR="00CC4295">
        <w:rPr>
          <w:rFonts w:ascii="Arial" w:eastAsia="Calibri" w:hAnsi="Arial"/>
          <w:szCs w:val="22"/>
          <w:lang w:eastAsia="en-US"/>
        </w:rPr>
        <w:t xml:space="preserve"> </w:t>
      </w:r>
      <w:r w:rsidR="000E3D49">
        <w:rPr>
          <w:rFonts w:ascii="Arial" w:eastAsia="Calibri" w:hAnsi="Arial"/>
          <w:szCs w:val="22"/>
          <w:lang w:eastAsia="en-US"/>
        </w:rPr>
        <w:t>E</w:t>
      </w:r>
      <w:r w:rsidR="00CC4295">
        <w:rPr>
          <w:rFonts w:ascii="Arial" w:eastAsia="Calibri" w:hAnsi="Arial"/>
          <w:szCs w:val="22"/>
          <w:lang w:eastAsia="en-US"/>
        </w:rPr>
        <w:t xml:space="preserve">l Comité de Seguimiento tiene entre sus funciones más destacadas la definición y aprobación de los criterios de selección de las operaciones, en un período máximo de 6 meses tras la adopción de dicho </w:t>
      </w:r>
      <w:r w:rsidR="005C096D">
        <w:rPr>
          <w:rFonts w:ascii="Arial" w:eastAsia="Calibri" w:hAnsi="Arial"/>
          <w:szCs w:val="22"/>
          <w:lang w:eastAsia="en-US"/>
        </w:rPr>
        <w:t>P.O.</w:t>
      </w:r>
      <w:r w:rsidR="000E3D49">
        <w:rPr>
          <w:rFonts w:ascii="Arial" w:eastAsia="Calibri" w:hAnsi="Arial"/>
          <w:szCs w:val="22"/>
          <w:lang w:eastAsia="en-US"/>
        </w:rPr>
        <w:t xml:space="preserve"> tal y como prevé el Reglamento</w:t>
      </w:r>
      <w:r w:rsidR="0064621C">
        <w:rPr>
          <w:rFonts w:ascii="Arial" w:eastAsia="Calibri" w:hAnsi="Arial"/>
          <w:szCs w:val="22"/>
          <w:lang w:eastAsia="en-US"/>
        </w:rPr>
        <w:t>1303/3013</w:t>
      </w:r>
      <w:r w:rsidR="00CC4295">
        <w:rPr>
          <w:rFonts w:ascii="Arial" w:eastAsia="Calibri" w:hAnsi="Arial"/>
          <w:szCs w:val="22"/>
          <w:lang w:eastAsia="en-US"/>
        </w:rPr>
        <w:t xml:space="preserve">. </w:t>
      </w:r>
    </w:p>
    <w:p w:rsidR="000E3D49" w:rsidRPr="00D7794A" w:rsidRDefault="000E3D49" w:rsidP="00B72FB0">
      <w:pPr>
        <w:pStyle w:val="Prrafodelista"/>
        <w:spacing w:line="360" w:lineRule="auto"/>
        <w:ind w:left="426" w:right="283"/>
        <w:rPr>
          <w:rFonts w:ascii="Arial" w:eastAsia="Calibri" w:hAnsi="Arial"/>
          <w:szCs w:val="22"/>
          <w:lang w:eastAsia="en-US"/>
        </w:rPr>
      </w:pPr>
      <w:r>
        <w:rPr>
          <w:rFonts w:ascii="Arial" w:eastAsia="Calibri" w:hAnsi="Arial"/>
          <w:szCs w:val="22"/>
          <w:lang w:eastAsia="en-US"/>
        </w:rPr>
        <w:t xml:space="preserve">En este sentido, los CERMI tienen un importante papel a la hora </w:t>
      </w:r>
      <w:r w:rsidRPr="00D7794A">
        <w:rPr>
          <w:rFonts w:ascii="Arial" w:eastAsia="Calibri" w:hAnsi="Arial"/>
          <w:szCs w:val="22"/>
          <w:lang w:eastAsia="en-US"/>
        </w:rPr>
        <w:t xml:space="preserve">de proponer mejoras a la redacción de dichos criterios </w:t>
      </w:r>
      <w:r w:rsidR="009B4C6A" w:rsidRPr="00D7794A">
        <w:rPr>
          <w:rFonts w:ascii="Arial" w:eastAsia="Calibri" w:hAnsi="Arial"/>
          <w:szCs w:val="22"/>
          <w:lang w:eastAsia="en-US"/>
        </w:rPr>
        <w:t xml:space="preserve">en lo que concierne a la accesibilidad y la igualdad de trato de las personas con discapacidad. </w:t>
      </w:r>
      <w:r w:rsidR="00E226DF" w:rsidRPr="00D7794A">
        <w:rPr>
          <w:rFonts w:ascii="Arial" w:eastAsia="Calibri" w:hAnsi="Arial"/>
          <w:szCs w:val="22"/>
          <w:lang w:eastAsia="en-US"/>
        </w:rPr>
        <w:t>Esto sólo es posible a partir de un sólido conocimiento de l</w:t>
      </w:r>
      <w:r w:rsidR="00FF174F" w:rsidRPr="00D7794A">
        <w:rPr>
          <w:rFonts w:ascii="Arial" w:eastAsia="Calibri" w:hAnsi="Arial"/>
          <w:szCs w:val="22"/>
          <w:lang w:eastAsia="en-US"/>
        </w:rPr>
        <w:t xml:space="preserve">a legislación vigente </w:t>
      </w:r>
      <w:r w:rsidR="00825C06" w:rsidRPr="00D7794A">
        <w:rPr>
          <w:rFonts w:ascii="Arial" w:eastAsia="Calibri" w:hAnsi="Arial"/>
          <w:szCs w:val="22"/>
          <w:lang w:eastAsia="en-US"/>
        </w:rPr>
        <w:t>en el marco internacional, europeo y nacional (</w:t>
      </w:r>
      <w:r w:rsidR="00427422" w:rsidRPr="00D7794A">
        <w:rPr>
          <w:rFonts w:ascii="Arial" w:eastAsia="Calibri" w:hAnsi="Arial"/>
          <w:szCs w:val="22"/>
          <w:lang w:eastAsia="en-US"/>
        </w:rPr>
        <w:t>en un rango que va desde la Convención</w:t>
      </w:r>
      <w:r w:rsidR="008A49F9">
        <w:rPr>
          <w:rFonts w:ascii="Arial" w:eastAsia="Calibri" w:hAnsi="Arial"/>
          <w:szCs w:val="22"/>
          <w:lang w:eastAsia="en-US"/>
        </w:rPr>
        <w:t xml:space="preserve"> </w:t>
      </w:r>
      <w:r w:rsidR="00427422" w:rsidRPr="00D7794A">
        <w:rPr>
          <w:rFonts w:ascii="Arial" w:eastAsia="Calibri" w:hAnsi="Arial"/>
          <w:szCs w:val="22"/>
          <w:lang w:eastAsia="en-US"/>
        </w:rPr>
        <w:t>de las Naciones Unidas sobre los Derechos de las Personas con Discapacidad a la Ley General de derechos de las personas con discapacidad y de su inclusión social, pasando por el Acuerdo de Asociación de España 2014-2020),</w:t>
      </w:r>
      <w:r w:rsidR="00825C06" w:rsidRPr="00D7794A">
        <w:rPr>
          <w:rFonts w:ascii="Arial" w:eastAsia="Calibri" w:hAnsi="Arial"/>
          <w:szCs w:val="22"/>
          <w:lang w:eastAsia="en-US"/>
        </w:rPr>
        <w:t xml:space="preserve"> así como </w:t>
      </w:r>
      <w:r w:rsidR="00E226DF" w:rsidRPr="00D7794A">
        <w:rPr>
          <w:rFonts w:ascii="Arial" w:eastAsia="Calibri" w:hAnsi="Arial"/>
          <w:szCs w:val="22"/>
          <w:lang w:eastAsia="en-US"/>
        </w:rPr>
        <w:t xml:space="preserve">de la programación prevista en el </w:t>
      </w:r>
      <w:r w:rsidR="005C096D" w:rsidRPr="00D7794A">
        <w:rPr>
          <w:rFonts w:ascii="Arial" w:eastAsia="Calibri" w:hAnsi="Arial"/>
          <w:szCs w:val="22"/>
          <w:lang w:eastAsia="en-US"/>
        </w:rPr>
        <w:t>P.O.</w:t>
      </w:r>
      <w:r w:rsidR="00E226DF" w:rsidRPr="00D7794A">
        <w:rPr>
          <w:rFonts w:ascii="Arial" w:eastAsia="Calibri" w:hAnsi="Arial"/>
          <w:szCs w:val="22"/>
          <w:lang w:eastAsia="en-US"/>
        </w:rPr>
        <w:t xml:space="preserve"> </w:t>
      </w:r>
      <w:r w:rsidR="00825C06" w:rsidRPr="00D7794A">
        <w:rPr>
          <w:rFonts w:ascii="Arial" w:eastAsia="Calibri" w:hAnsi="Arial"/>
          <w:szCs w:val="22"/>
          <w:lang w:eastAsia="en-US"/>
        </w:rPr>
        <w:t xml:space="preserve">para cada región, </w:t>
      </w:r>
      <w:r w:rsidR="000B14D0" w:rsidRPr="00D7794A">
        <w:rPr>
          <w:rFonts w:ascii="Arial" w:eastAsia="Calibri" w:hAnsi="Arial"/>
          <w:szCs w:val="22"/>
          <w:lang w:eastAsia="en-US"/>
        </w:rPr>
        <w:t>y de las necesidades de las personas con</w:t>
      </w:r>
      <w:r w:rsidR="008A49F9">
        <w:rPr>
          <w:rFonts w:ascii="Arial" w:eastAsia="Calibri" w:hAnsi="Arial"/>
          <w:szCs w:val="22"/>
          <w:lang w:eastAsia="en-US"/>
        </w:rPr>
        <w:t xml:space="preserve"> </w:t>
      </w:r>
      <w:r w:rsidR="000B14D0" w:rsidRPr="00D7794A">
        <w:rPr>
          <w:rFonts w:ascii="Arial" w:eastAsia="Calibri" w:hAnsi="Arial"/>
          <w:szCs w:val="22"/>
          <w:lang w:eastAsia="en-US"/>
        </w:rPr>
        <w:t xml:space="preserve">discapacidad. </w:t>
      </w:r>
    </w:p>
    <w:p w:rsidR="00EF101B" w:rsidRPr="008727C2" w:rsidRDefault="00E226DF" w:rsidP="00B72FB0">
      <w:pPr>
        <w:pStyle w:val="Prrafodelista"/>
        <w:spacing w:line="360" w:lineRule="auto"/>
        <w:ind w:left="426" w:right="283"/>
        <w:rPr>
          <w:rFonts w:ascii="Arial" w:eastAsia="Calibri" w:hAnsi="Arial"/>
          <w:i/>
          <w:szCs w:val="22"/>
          <w:lang w:eastAsia="en-US"/>
        </w:rPr>
      </w:pPr>
      <w:r w:rsidRPr="00D7794A">
        <w:rPr>
          <w:rFonts w:ascii="Arial" w:eastAsia="Calibri" w:hAnsi="Arial"/>
          <w:szCs w:val="22"/>
          <w:lang w:eastAsia="en-US"/>
        </w:rPr>
        <w:t>¿</w:t>
      </w:r>
      <w:r w:rsidRPr="00D7794A">
        <w:rPr>
          <w:rFonts w:ascii="Arial" w:eastAsia="Calibri" w:hAnsi="Arial"/>
          <w:szCs w:val="22"/>
          <w:u w:val="single"/>
          <w:lang w:eastAsia="en-US"/>
        </w:rPr>
        <w:t xml:space="preserve">Cómo pueden mejorarse los criterios de selección </w:t>
      </w:r>
      <w:r w:rsidR="00EF101B" w:rsidRPr="00D7794A">
        <w:rPr>
          <w:rFonts w:ascii="Arial" w:eastAsia="Calibri" w:hAnsi="Arial"/>
          <w:szCs w:val="22"/>
          <w:u w:val="single"/>
          <w:lang w:eastAsia="en-US"/>
        </w:rPr>
        <w:t>d</w:t>
      </w:r>
      <w:r w:rsidRPr="00D7794A">
        <w:rPr>
          <w:rFonts w:ascii="Arial" w:eastAsia="Calibri" w:hAnsi="Arial"/>
          <w:szCs w:val="22"/>
          <w:u w:val="single"/>
          <w:lang w:eastAsia="en-US"/>
        </w:rPr>
        <w:t xml:space="preserve">e operaciones </w:t>
      </w:r>
      <w:r w:rsidR="000B14D0" w:rsidRPr="00D7794A">
        <w:rPr>
          <w:rFonts w:ascii="Arial" w:eastAsia="Calibri" w:hAnsi="Arial"/>
          <w:szCs w:val="22"/>
          <w:u w:val="single"/>
          <w:lang w:eastAsia="en-US"/>
        </w:rPr>
        <w:t>en</w:t>
      </w:r>
      <w:r w:rsidRPr="00D7794A">
        <w:rPr>
          <w:rFonts w:ascii="Arial" w:eastAsia="Calibri" w:hAnsi="Arial"/>
          <w:szCs w:val="22"/>
          <w:u w:val="single"/>
          <w:lang w:eastAsia="en-US"/>
        </w:rPr>
        <w:t xml:space="preserve"> favor de las personas con discapacidad</w:t>
      </w:r>
      <w:r w:rsidR="00193A2C" w:rsidRPr="00D7794A">
        <w:rPr>
          <w:rFonts w:ascii="Arial" w:eastAsia="Calibri" w:hAnsi="Arial"/>
          <w:szCs w:val="22"/>
          <w:lang w:eastAsia="en-US"/>
        </w:rPr>
        <w:t>?</w:t>
      </w:r>
      <w:r w:rsidR="00446C40" w:rsidRPr="00D7794A">
        <w:rPr>
          <w:rFonts w:ascii="Arial" w:eastAsia="Calibri" w:hAnsi="Arial"/>
          <w:szCs w:val="22"/>
          <w:lang w:eastAsia="en-US"/>
        </w:rPr>
        <w:t>.</w:t>
      </w:r>
      <w:r w:rsidRPr="00D7794A">
        <w:rPr>
          <w:rFonts w:ascii="Arial" w:eastAsia="Calibri" w:hAnsi="Arial"/>
          <w:szCs w:val="22"/>
          <w:lang w:eastAsia="en-US"/>
        </w:rPr>
        <w:t xml:space="preserve"> En términos generales se trata de que las operaciones elegibles contemplen a las personas con discapacidad como grupo social al que hay que incluir </w:t>
      </w:r>
      <w:r w:rsidR="000B14D0" w:rsidRPr="00D7794A">
        <w:rPr>
          <w:rFonts w:ascii="Arial" w:eastAsia="Calibri" w:hAnsi="Arial"/>
          <w:szCs w:val="22"/>
          <w:lang w:eastAsia="en-US"/>
        </w:rPr>
        <w:t>de forma visible</w:t>
      </w:r>
      <w:r w:rsidR="000B14D0">
        <w:rPr>
          <w:rFonts w:ascii="Arial" w:eastAsia="Calibri" w:hAnsi="Arial"/>
          <w:szCs w:val="22"/>
          <w:lang w:eastAsia="en-US"/>
        </w:rPr>
        <w:t xml:space="preserve"> </w:t>
      </w:r>
      <w:r>
        <w:rPr>
          <w:rFonts w:ascii="Arial" w:eastAsia="Calibri" w:hAnsi="Arial"/>
          <w:szCs w:val="22"/>
          <w:lang w:eastAsia="en-US"/>
        </w:rPr>
        <w:t>en las operaciones cofinanciadas. En este sentido, la operación concreta puede orientarse específicamente a las persona</w:t>
      </w:r>
      <w:r w:rsidR="000B14D0">
        <w:rPr>
          <w:rFonts w:ascii="Arial" w:eastAsia="Calibri" w:hAnsi="Arial"/>
          <w:szCs w:val="22"/>
          <w:lang w:eastAsia="en-US"/>
        </w:rPr>
        <w:t xml:space="preserve">s con discapacidad; puede tener a estas personas </w:t>
      </w:r>
      <w:r>
        <w:rPr>
          <w:rFonts w:ascii="Arial" w:eastAsia="Calibri" w:hAnsi="Arial"/>
          <w:szCs w:val="22"/>
          <w:lang w:eastAsia="en-US"/>
        </w:rPr>
        <w:t xml:space="preserve">entre sus objetivos; o puede transversalizar la discapacidad a lo largo de </w:t>
      </w:r>
      <w:r w:rsidR="000B14D0">
        <w:rPr>
          <w:rFonts w:ascii="Arial" w:eastAsia="Calibri" w:hAnsi="Arial"/>
          <w:szCs w:val="22"/>
          <w:lang w:eastAsia="en-US"/>
        </w:rPr>
        <w:t>todas las fases de desarrollo de dicha actuación (diseño de la actuación, ejecución, seguimiento y evaluación), tomando las oportunas medidas para que las personas con</w:t>
      </w:r>
      <w:r w:rsidR="008A49F9">
        <w:rPr>
          <w:rFonts w:ascii="Arial" w:eastAsia="Calibri" w:hAnsi="Arial"/>
          <w:szCs w:val="22"/>
          <w:lang w:eastAsia="en-US"/>
        </w:rPr>
        <w:t xml:space="preserve"> </w:t>
      </w:r>
      <w:r w:rsidR="000B14D0">
        <w:rPr>
          <w:rFonts w:ascii="Arial" w:eastAsia="Calibri" w:hAnsi="Arial"/>
          <w:szCs w:val="22"/>
          <w:lang w:eastAsia="en-US"/>
        </w:rPr>
        <w:t xml:space="preserve">discapacidad puedan acceder a los servicios y recursos en igualdad de condiciones y que no sean discriminadas directa o indirectamente por su discapacidad. Estas directrices genéricas sirven para construir criterios de selección </w:t>
      </w:r>
      <w:r w:rsidR="000B14D0">
        <w:rPr>
          <w:rFonts w:ascii="Arial" w:eastAsia="Calibri" w:hAnsi="Arial"/>
          <w:i/>
          <w:szCs w:val="22"/>
          <w:lang w:eastAsia="en-US"/>
        </w:rPr>
        <w:t xml:space="preserve">sensibles a la discapacidad. </w:t>
      </w:r>
    </w:p>
    <w:p w:rsidR="00CC4295" w:rsidRDefault="00C51853" w:rsidP="00B72FB0">
      <w:pPr>
        <w:pStyle w:val="Prrafodelista"/>
        <w:spacing w:line="360" w:lineRule="auto"/>
        <w:ind w:left="426" w:right="283"/>
        <w:rPr>
          <w:rFonts w:ascii="Arial" w:eastAsia="Calibri" w:hAnsi="Arial"/>
          <w:szCs w:val="22"/>
          <w:lang w:eastAsia="en-US"/>
        </w:rPr>
      </w:pPr>
      <w:r>
        <w:rPr>
          <w:rFonts w:ascii="Arial" w:eastAsia="Calibri" w:hAnsi="Arial"/>
          <w:szCs w:val="22"/>
          <w:lang w:eastAsia="en-US"/>
        </w:rPr>
        <w:t>Ahora bien, los</w:t>
      </w:r>
      <w:r w:rsidR="00E226DF">
        <w:rPr>
          <w:rFonts w:ascii="Arial" w:eastAsia="Calibri" w:hAnsi="Arial"/>
          <w:szCs w:val="22"/>
          <w:lang w:eastAsia="en-US"/>
        </w:rPr>
        <w:t xml:space="preserve"> CERMI autonómico</w:t>
      </w:r>
      <w:r>
        <w:rPr>
          <w:rFonts w:ascii="Arial" w:eastAsia="Calibri" w:hAnsi="Arial"/>
          <w:szCs w:val="22"/>
          <w:lang w:eastAsia="en-US"/>
        </w:rPr>
        <w:t>s</w:t>
      </w:r>
      <w:r w:rsidR="00E226DF">
        <w:rPr>
          <w:rFonts w:ascii="Arial" w:eastAsia="Calibri" w:hAnsi="Arial"/>
          <w:szCs w:val="22"/>
          <w:lang w:eastAsia="en-US"/>
        </w:rPr>
        <w:t xml:space="preserve"> también puede</w:t>
      </w:r>
      <w:r>
        <w:rPr>
          <w:rFonts w:ascii="Arial" w:eastAsia="Calibri" w:hAnsi="Arial"/>
          <w:szCs w:val="22"/>
          <w:lang w:eastAsia="en-US"/>
        </w:rPr>
        <w:t>n</w:t>
      </w:r>
      <w:r w:rsidR="00E226DF">
        <w:rPr>
          <w:rFonts w:ascii="Arial" w:eastAsia="Calibri" w:hAnsi="Arial"/>
          <w:szCs w:val="22"/>
          <w:lang w:eastAsia="en-US"/>
        </w:rPr>
        <w:t xml:space="preserve"> aportar</w:t>
      </w:r>
      <w:r w:rsidR="000E3D49">
        <w:rPr>
          <w:rFonts w:ascii="Arial" w:eastAsia="Calibri" w:hAnsi="Arial"/>
          <w:szCs w:val="22"/>
          <w:lang w:eastAsia="en-US"/>
        </w:rPr>
        <w:t xml:space="preserve"> algunos criterios de selección de operaciones “tipo” tales como a los que </w:t>
      </w:r>
      <w:r w:rsidR="00AA2A58">
        <w:rPr>
          <w:rFonts w:ascii="Arial" w:eastAsia="Calibri" w:hAnsi="Arial"/>
          <w:szCs w:val="22"/>
          <w:lang w:eastAsia="en-US"/>
        </w:rPr>
        <w:t>se exponen, a</w:t>
      </w:r>
      <w:r w:rsidR="000E3D49">
        <w:rPr>
          <w:rFonts w:ascii="Arial" w:eastAsia="Calibri" w:hAnsi="Arial"/>
          <w:szCs w:val="22"/>
          <w:lang w:eastAsia="en-US"/>
        </w:rPr>
        <w:t xml:space="preserve"> continuación</w:t>
      </w:r>
      <w:r w:rsidR="00AA2A58">
        <w:rPr>
          <w:rFonts w:ascii="Arial" w:eastAsia="Calibri" w:hAnsi="Arial"/>
          <w:szCs w:val="22"/>
          <w:lang w:eastAsia="en-US"/>
        </w:rPr>
        <w:t>,</w:t>
      </w:r>
      <w:r w:rsidR="00DD4035">
        <w:rPr>
          <w:rFonts w:ascii="Arial" w:eastAsia="Calibri" w:hAnsi="Arial"/>
          <w:szCs w:val="22"/>
          <w:lang w:eastAsia="en-US"/>
        </w:rPr>
        <w:t xml:space="preserve"> a modo de ejemplo</w:t>
      </w:r>
      <w:r w:rsidR="000E3D49">
        <w:rPr>
          <w:rFonts w:ascii="Arial" w:eastAsia="Calibri" w:hAnsi="Arial"/>
          <w:szCs w:val="22"/>
          <w:lang w:eastAsia="en-US"/>
        </w:rPr>
        <w:t xml:space="preserve">: </w:t>
      </w:r>
    </w:p>
    <w:p w:rsidR="009B4C6A" w:rsidRDefault="009B4C6A" w:rsidP="00B72FB0">
      <w:pPr>
        <w:pStyle w:val="Prrafodelista"/>
        <w:numPr>
          <w:ilvl w:val="0"/>
          <w:numId w:val="33"/>
        </w:numPr>
        <w:spacing w:line="360" w:lineRule="auto"/>
        <w:ind w:left="851" w:right="283"/>
        <w:rPr>
          <w:rFonts w:ascii="Arial" w:eastAsia="Calibri" w:hAnsi="Arial"/>
          <w:szCs w:val="22"/>
          <w:lang w:eastAsia="en-US"/>
        </w:rPr>
      </w:pPr>
      <w:r>
        <w:rPr>
          <w:rFonts w:ascii="Arial" w:eastAsia="Calibri" w:hAnsi="Arial"/>
          <w:szCs w:val="22"/>
          <w:lang w:eastAsia="en-US"/>
        </w:rPr>
        <w:t xml:space="preserve">Que la operación elegible </w:t>
      </w:r>
      <w:r w:rsidRPr="00DD4035">
        <w:rPr>
          <w:rFonts w:ascii="Arial" w:eastAsia="Calibri" w:hAnsi="Arial"/>
          <w:szCs w:val="22"/>
          <w:u w:val="single"/>
          <w:lang w:eastAsia="en-US"/>
        </w:rPr>
        <w:t>tenga entre sus objetivos</w:t>
      </w:r>
      <w:r>
        <w:rPr>
          <w:rFonts w:ascii="Arial" w:eastAsia="Calibri" w:hAnsi="Arial"/>
          <w:szCs w:val="22"/>
          <w:lang w:eastAsia="en-US"/>
        </w:rPr>
        <w:t xml:space="preserve"> el cumplimiento de algún objetivo en materia de igualdad de oportunidades para las personas con discapacidad.</w:t>
      </w:r>
    </w:p>
    <w:p w:rsidR="009B4C6A" w:rsidRDefault="009B4C6A" w:rsidP="00B72FB0">
      <w:pPr>
        <w:pStyle w:val="Prrafodelista"/>
        <w:numPr>
          <w:ilvl w:val="0"/>
          <w:numId w:val="33"/>
        </w:numPr>
        <w:spacing w:line="360" w:lineRule="auto"/>
        <w:ind w:left="851" w:right="283"/>
        <w:rPr>
          <w:rFonts w:ascii="Arial" w:eastAsia="Calibri" w:hAnsi="Arial"/>
          <w:szCs w:val="22"/>
          <w:lang w:eastAsia="en-US"/>
        </w:rPr>
      </w:pPr>
      <w:r>
        <w:rPr>
          <w:rFonts w:ascii="Arial" w:eastAsia="Calibri" w:hAnsi="Arial"/>
          <w:szCs w:val="22"/>
          <w:lang w:eastAsia="en-US"/>
        </w:rPr>
        <w:t xml:space="preserve">Definir </w:t>
      </w:r>
      <w:r w:rsidRPr="00DD4035">
        <w:rPr>
          <w:rFonts w:ascii="Arial" w:eastAsia="Calibri" w:hAnsi="Arial"/>
          <w:szCs w:val="22"/>
          <w:u w:val="single"/>
          <w:lang w:eastAsia="en-US"/>
        </w:rPr>
        <w:t>operaciones específicamente dirigidas</w:t>
      </w:r>
      <w:r w:rsidRPr="00DD4035">
        <w:rPr>
          <w:rFonts w:ascii="Arial" w:eastAsia="Calibri" w:hAnsi="Arial"/>
          <w:szCs w:val="22"/>
          <w:lang w:eastAsia="en-US"/>
        </w:rPr>
        <w:t xml:space="preserve"> a personas con discapacidad cu</w:t>
      </w:r>
      <w:r w:rsidR="00D73A44" w:rsidRPr="00DD4035">
        <w:rPr>
          <w:rFonts w:ascii="Arial" w:eastAsia="Calibri" w:hAnsi="Arial"/>
          <w:szCs w:val="22"/>
          <w:lang w:eastAsia="en-US"/>
        </w:rPr>
        <w:t>a</w:t>
      </w:r>
      <w:r w:rsidRPr="00DD4035">
        <w:rPr>
          <w:rFonts w:ascii="Arial" w:eastAsia="Calibri" w:hAnsi="Arial"/>
          <w:szCs w:val="22"/>
          <w:lang w:eastAsia="en-US"/>
        </w:rPr>
        <w:t>ndo la temática del</w:t>
      </w:r>
      <w:r>
        <w:rPr>
          <w:rFonts w:ascii="Arial" w:eastAsia="Calibri" w:hAnsi="Arial"/>
          <w:szCs w:val="22"/>
          <w:lang w:eastAsia="en-US"/>
        </w:rPr>
        <w:t xml:space="preserve"> eje prioritario, los objetivos definidos y la tipología de las operaciones previstas así lo permita. </w:t>
      </w:r>
    </w:p>
    <w:p w:rsidR="009B4C6A" w:rsidRDefault="009B4C6A" w:rsidP="00B72FB0">
      <w:pPr>
        <w:pStyle w:val="Prrafodelista"/>
        <w:numPr>
          <w:ilvl w:val="0"/>
          <w:numId w:val="33"/>
        </w:numPr>
        <w:spacing w:line="360" w:lineRule="auto"/>
        <w:ind w:left="851" w:right="283"/>
        <w:rPr>
          <w:rFonts w:ascii="Arial" w:eastAsia="Calibri" w:hAnsi="Arial"/>
          <w:szCs w:val="22"/>
          <w:lang w:eastAsia="en-US"/>
        </w:rPr>
      </w:pPr>
      <w:r>
        <w:rPr>
          <w:rFonts w:ascii="Arial" w:eastAsia="Calibri" w:hAnsi="Arial"/>
          <w:szCs w:val="22"/>
          <w:lang w:eastAsia="en-US"/>
        </w:rPr>
        <w:t xml:space="preserve">Definir y utilizar </w:t>
      </w:r>
      <w:r w:rsidRPr="00DD4035">
        <w:rPr>
          <w:rFonts w:ascii="Arial" w:eastAsia="Calibri" w:hAnsi="Arial"/>
          <w:szCs w:val="22"/>
          <w:u w:val="single"/>
          <w:lang w:eastAsia="en-US"/>
        </w:rPr>
        <w:t>medidas transversales</w:t>
      </w:r>
      <w:r>
        <w:rPr>
          <w:rFonts w:ascii="Arial" w:eastAsia="Calibri" w:hAnsi="Arial"/>
          <w:szCs w:val="22"/>
          <w:lang w:eastAsia="en-US"/>
        </w:rPr>
        <w:t xml:space="preserve"> para el fomento de la accesibilidad </w:t>
      </w:r>
      <w:r w:rsidR="00D73A44">
        <w:rPr>
          <w:rFonts w:ascii="Arial" w:eastAsia="Calibri" w:hAnsi="Arial"/>
          <w:szCs w:val="22"/>
          <w:lang w:eastAsia="en-US"/>
        </w:rPr>
        <w:t xml:space="preserve">universal y de la igualdad de trato en las operaciones para las personas con discapacidad. </w:t>
      </w:r>
    </w:p>
    <w:p w:rsidR="00D73A44" w:rsidRDefault="00D73A44" w:rsidP="00B72FB0">
      <w:pPr>
        <w:pStyle w:val="Prrafodelista"/>
        <w:numPr>
          <w:ilvl w:val="0"/>
          <w:numId w:val="33"/>
        </w:numPr>
        <w:spacing w:line="360" w:lineRule="auto"/>
        <w:ind w:left="851" w:right="283"/>
        <w:rPr>
          <w:rFonts w:ascii="Arial" w:eastAsia="Calibri" w:hAnsi="Arial"/>
          <w:szCs w:val="22"/>
          <w:lang w:eastAsia="en-US"/>
        </w:rPr>
      </w:pPr>
      <w:r>
        <w:rPr>
          <w:rFonts w:ascii="Arial" w:eastAsia="Calibri" w:hAnsi="Arial"/>
          <w:szCs w:val="22"/>
          <w:lang w:eastAsia="en-US"/>
        </w:rPr>
        <w:t xml:space="preserve">Establecer como criterio de selección que las actuaciones propuestas prevean la </w:t>
      </w:r>
      <w:r w:rsidRPr="00DD4035">
        <w:rPr>
          <w:rFonts w:ascii="Arial" w:eastAsia="Calibri" w:hAnsi="Arial"/>
          <w:szCs w:val="22"/>
          <w:u w:val="single"/>
          <w:lang w:eastAsia="en-US"/>
        </w:rPr>
        <w:t>accesibilidad a los recursos</w:t>
      </w:r>
      <w:r w:rsidRPr="00DD4035">
        <w:rPr>
          <w:rFonts w:ascii="Arial" w:eastAsia="Calibri" w:hAnsi="Arial"/>
          <w:szCs w:val="22"/>
          <w:lang w:eastAsia="en-US"/>
        </w:rPr>
        <w:t xml:space="preserve"> por parte de las personas con discapacidad </w:t>
      </w:r>
      <w:r w:rsidR="009F678B">
        <w:rPr>
          <w:rFonts w:ascii="Arial" w:eastAsia="Calibri" w:hAnsi="Arial"/>
          <w:szCs w:val="22"/>
          <w:lang w:eastAsia="en-US"/>
        </w:rPr>
        <w:t xml:space="preserve">así como el impacto o la repercusión de la operación sobre las mismas. </w:t>
      </w:r>
    </w:p>
    <w:p w:rsidR="009F678B" w:rsidRDefault="009F678B" w:rsidP="00B72FB0">
      <w:pPr>
        <w:pStyle w:val="Prrafodelista"/>
        <w:numPr>
          <w:ilvl w:val="0"/>
          <w:numId w:val="33"/>
        </w:numPr>
        <w:spacing w:line="360" w:lineRule="auto"/>
        <w:ind w:left="851" w:right="283"/>
        <w:rPr>
          <w:rFonts w:ascii="Arial" w:eastAsia="Calibri" w:hAnsi="Arial"/>
          <w:szCs w:val="22"/>
          <w:lang w:eastAsia="en-US"/>
        </w:rPr>
      </w:pPr>
      <w:r>
        <w:rPr>
          <w:rFonts w:ascii="Arial" w:eastAsia="Calibri" w:hAnsi="Arial"/>
          <w:szCs w:val="22"/>
          <w:lang w:eastAsia="en-US"/>
        </w:rPr>
        <w:t xml:space="preserve">Establecer como criterio de selección que las actuaciones </w:t>
      </w:r>
      <w:r w:rsidRPr="00DD4035">
        <w:rPr>
          <w:rFonts w:ascii="Arial" w:eastAsia="Calibri" w:hAnsi="Arial"/>
          <w:szCs w:val="22"/>
          <w:u w:val="single"/>
          <w:lang w:eastAsia="en-US"/>
        </w:rPr>
        <w:t>promuevan la participación activa</w:t>
      </w:r>
      <w:r>
        <w:rPr>
          <w:rFonts w:ascii="Arial" w:eastAsia="Calibri" w:hAnsi="Arial"/>
          <w:szCs w:val="22"/>
          <w:lang w:eastAsia="en-US"/>
        </w:rPr>
        <w:t xml:space="preserve"> de las personas con discapacidad en el ámbito de que se trate. </w:t>
      </w:r>
    </w:p>
    <w:p w:rsidR="00857440" w:rsidRDefault="0064621C" w:rsidP="00B72FB0">
      <w:pPr>
        <w:pStyle w:val="Prrafodelista"/>
        <w:numPr>
          <w:ilvl w:val="0"/>
          <w:numId w:val="32"/>
        </w:numPr>
        <w:spacing w:line="360" w:lineRule="auto"/>
        <w:ind w:left="426" w:right="283" w:hanging="357"/>
        <w:rPr>
          <w:rFonts w:ascii="Arial" w:eastAsia="Calibri" w:hAnsi="Arial"/>
          <w:szCs w:val="22"/>
          <w:lang w:eastAsia="en-US"/>
        </w:rPr>
      </w:pPr>
      <w:r>
        <w:rPr>
          <w:rFonts w:ascii="Arial" w:eastAsia="Calibri" w:hAnsi="Arial"/>
          <w:b/>
          <w:szCs w:val="22"/>
          <w:lang w:eastAsia="en-US"/>
        </w:rPr>
        <w:t xml:space="preserve"> Garantizar</w:t>
      </w:r>
      <w:r w:rsidR="008A49F9">
        <w:rPr>
          <w:rFonts w:ascii="Arial" w:eastAsia="Calibri" w:hAnsi="Arial"/>
          <w:b/>
          <w:szCs w:val="22"/>
          <w:lang w:eastAsia="en-US"/>
        </w:rPr>
        <w:t xml:space="preserve"> </w:t>
      </w:r>
      <w:r w:rsidR="00857440" w:rsidRPr="00EE72FF">
        <w:rPr>
          <w:rFonts w:ascii="Arial" w:eastAsia="Calibri" w:hAnsi="Arial"/>
          <w:b/>
          <w:szCs w:val="22"/>
          <w:lang w:eastAsia="en-US"/>
        </w:rPr>
        <w:t>la aplicación del principio de igualdad de trato y de accesibilidad universal en las operaciones</w:t>
      </w:r>
      <w:r w:rsidR="00857440">
        <w:rPr>
          <w:rFonts w:ascii="Arial" w:eastAsia="Calibri" w:hAnsi="Arial"/>
          <w:szCs w:val="22"/>
          <w:lang w:eastAsia="en-US"/>
        </w:rPr>
        <w:t xml:space="preserve">. </w:t>
      </w:r>
      <w:r w:rsidR="005D6775">
        <w:rPr>
          <w:rFonts w:ascii="Arial" w:eastAsia="Calibri" w:hAnsi="Arial"/>
          <w:szCs w:val="22"/>
          <w:lang w:eastAsia="en-US"/>
        </w:rPr>
        <w:t xml:space="preserve">¿Qué cuestiones concretas deben supervisar los CERMI – sea a nivel nacional o autonómico </w:t>
      </w:r>
      <w:r w:rsidR="00410E6A">
        <w:rPr>
          <w:rFonts w:ascii="Arial" w:eastAsia="Calibri" w:hAnsi="Arial"/>
          <w:szCs w:val="22"/>
          <w:lang w:eastAsia="en-US"/>
        </w:rPr>
        <w:t>–</w:t>
      </w:r>
      <w:r w:rsidR="005D6775">
        <w:rPr>
          <w:rFonts w:ascii="Arial" w:eastAsia="Calibri" w:hAnsi="Arial"/>
          <w:szCs w:val="22"/>
          <w:lang w:eastAsia="en-US"/>
        </w:rPr>
        <w:t xml:space="preserve"> </w:t>
      </w:r>
      <w:r w:rsidR="00410E6A">
        <w:rPr>
          <w:rFonts w:ascii="Arial" w:eastAsia="Calibri" w:hAnsi="Arial"/>
          <w:szCs w:val="22"/>
          <w:lang w:eastAsia="en-US"/>
        </w:rPr>
        <w:t>en el contexto de la ejecución de los P</w:t>
      </w:r>
      <w:r w:rsidR="00CC623C">
        <w:rPr>
          <w:rFonts w:ascii="Arial" w:eastAsia="Calibri" w:hAnsi="Arial"/>
          <w:szCs w:val="22"/>
          <w:lang w:eastAsia="en-US"/>
        </w:rPr>
        <w:t>.</w:t>
      </w:r>
      <w:r w:rsidR="00410E6A">
        <w:rPr>
          <w:rFonts w:ascii="Arial" w:eastAsia="Calibri" w:hAnsi="Arial"/>
          <w:szCs w:val="22"/>
          <w:lang w:eastAsia="en-US"/>
        </w:rPr>
        <w:t>O</w:t>
      </w:r>
      <w:r w:rsidR="00CC623C">
        <w:rPr>
          <w:rFonts w:ascii="Arial" w:eastAsia="Calibri" w:hAnsi="Arial"/>
          <w:szCs w:val="22"/>
          <w:lang w:eastAsia="en-US"/>
        </w:rPr>
        <w:t>.</w:t>
      </w:r>
      <w:r w:rsidR="00A5543A">
        <w:rPr>
          <w:rFonts w:ascii="Arial" w:eastAsia="Calibri" w:hAnsi="Arial"/>
          <w:szCs w:val="22"/>
          <w:lang w:eastAsia="en-US"/>
        </w:rPr>
        <w:t xml:space="preserve"> del </w:t>
      </w:r>
      <w:r w:rsidR="00410E6A">
        <w:rPr>
          <w:rFonts w:ascii="Arial" w:eastAsia="Calibri" w:hAnsi="Arial"/>
          <w:szCs w:val="22"/>
          <w:lang w:eastAsia="en-US"/>
        </w:rPr>
        <w:t>FSE</w:t>
      </w:r>
      <w:r w:rsidR="00193A2C">
        <w:rPr>
          <w:rFonts w:ascii="Arial" w:eastAsia="Calibri" w:hAnsi="Arial"/>
          <w:szCs w:val="22"/>
          <w:lang w:eastAsia="en-US"/>
        </w:rPr>
        <w:t>?</w:t>
      </w:r>
      <w:r w:rsidR="00CC623C">
        <w:rPr>
          <w:rFonts w:ascii="Arial" w:eastAsia="Calibri" w:hAnsi="Arial"/>
          <w:szCs w:val="22"/>
          <w:lang w:eastAsia="en-US"/>
        </w:rPr>
        <w:t>.</w:t>
      </w:r>
      <w:r w:rsidR="00410E6A">
        <w:rPr>
          <w:rFonts w:ascii="Arial" w:eastAsia="Calibri" w:hAnsi="Arial"/>
          <w:szCs w:val="22"/>
          <w:lang w:eastAsia="en-US"/>
        </w:rPr>
        <w:t xml:space="preserve"> Además de la redacción de los criterios de selección </w:t>
      </w:r>
      <w:r w:rsidR="00CC623C">
        <w:rPr>
          <w:rFonts w:ascii="Arial" w:eastAsia="Calibri" w:hAnsi="Arial"/>
          <w:szCs w:val="22"/>
          <w:lang w:eastAsia="en-US"/>
        </w:rPr>
        <w:t>d</w:t>
      </w:r>
      <w:r w:rsidR="00410E6A">
        <w:rPr>
          <w:rFonts w:ascii="Arial" w:eastAsia="Calibri" w:hAnsi="Arial"/>
          <w:szCs w:val="22"/>
          <w:lang w:eastAsia="en-US"/>
        </w:rPr>
        <w:t>e operaciones, hay otros aspectos en los que fijar la atención durante la ejecución del P</w:t>
      </w:r>
      <w:r w:rsidR="00CC623C">
        <w:rPr>
          <w:rFonts w:ascii="Arial" w:eastAsia="Calibri" w:hAnsi="Arial"/>
          <w:szCs w:val="22"/>
          <w:lang w:eastAsia="en-US"/>
        </w:rPr>
        <w:t>.</w:t>
      </w:r>
      <w:r w:rsidR="00410E6A">
        <w:rPr>
          <w:rFonts w:ascii="Arial" w:eastAsia="Calibri" w:hAnsi="Arial"/>
          <w:szCs w:val="22"/>
          <w:lang w:eastAsia="en-US"/>
        </w:rPr>
        <w:t>O</w:t>
      </w:r>
      <w:r w:rsidR="00CC623C">
        <w:rPr>
          <w:rFonts w:ascii="Arial" w:eastAsia="Calibri" w:hAnsi="Arial"/>
          <w:szCs w:val="22"/>
          <w:lang w:eastAsia="en-US"/>
        </w:rPr>
        <w:t>.</w:t>
      </w:r>
      <w:r w:rsidR="00410E6A">
        <w:rPr>
          <w:rFonts w:ascii="Arial" w:eastAsia="Calibri" w:hAnsi="Arial"/>
          <w:szCs w:val="22"/>
          <w:lang w:eastAsia="en-US"/>
        </w:rPr>
        <w:t xml:space="preserve">, en cierta medida vinculados a los instrumentos del Comité de Seguimiento ya mencionados. Estas cuestiones son las siguientes: </w:t>
      </w:r>
    </w:p>
    <w:p w:rsidR="006C0E51" w:rsidRDefault="006C0E51" w:rsidP="00B72FB0">
      <w:pPr>
        <w:pStyle w:val="Prrafodelista"/>
        <w:numPr>
          <w:ilvl w:val="0"/>
          <w:numId w:val="33"/>
        </w:numPr>
        <w:spacing w:line="360" w:lineRule="auto"/>
        <w:ind w:left="851" w:right="283"/>
        <w:rPr>
          <w:rFonts w:ascii="Arial" w:eastAsia="Calibri" w:hAnsi="Arial"/>
          <w:szCs w:val="22"/>
          <w:lang w:eastAsia="en-US"/>
        </w:rPr>
      </w:pPr>
      <w:r w:rsidRPr="006C0E51">
        <w:rPr>
          <w:rFonts w:ascii="Arial" w:eastAsia="Calibri" w:hAnsi="Arial"/>
          <w:szCs w:val="22"/>
          <w:u w:val="single"/>
          <w:lang w:eastAsia="en-US"/>
        </w:rPr>
        <w:t>La evolución del contexto</w:t>
      </w:r>
      <w:r>
        <w:rPr>
          <w:rFonts w:ascii="Arial" w:eastAsia="Calibri" w:hAnsi="Arial"/>
          <w:szCs w:val="22"/>
          <w:lang w:eastAsia="en-US"/>
        </w:rPr>
        <w:t xml:space="preserve">, por cuanto éste puede influir en las necesidades de las personas con discapacidad. En este sentido los CERMI pueden actualizar, en las reuniones de los Comités, el diagnóstico de situación de las personas con discapacidad con el fin de comprobar cambios, nuevas necesidades, adecuación de las operaciones, etc. </w:t>
      </w:r>
    </w:p>
    <w:p w:rsidR="006C0E51" w:rsidRDefault="006C0E51" w:rsidP="00B72FB0">
      <w:pPr>
        <w:pStyle w:val="Prrafodelista"/>
        <w:numPr>
          <w:ilvl w:val="0"/>
          <w:numId w:val="33"/>
        </w:numPr>
        <w:spacing w:line="360" w:lineRule="auto"/>
        <w:ind w:left="851" w:right="283"/>
        <w:rPr>
          <w:rFonts w:ascii="Arial" w:eastAsia="Calibri" w:hAnsi="Arial"/>
          <w:szCs w:val="22"/>
          <w:lang w:eastAsia="en-US"/>
        </w:rPr>
      </w:pPr>
      <w:r>
        <w:rPr>
          <w:rFonts w:ascii="Arial" w:eastAsia="Calibri" w:hAnsi="Arial"/>
          <w:szCs w:val="22"/>
          <w:lang w:eastAsia="en-US"/>
        </w:rPr>
        <w:t xml:space="preserve">El transcurso y la </w:t>
      </w:r>
      <w:r w:rsidRPr="006C0E51">
        <w:rPr>
          <w:rFonts w:ascii="Arial" w:eastAsia="Calibri" w:hAnsi="Arial"/>
          <w:szCs w:val="22"/>
          <w:u w:val="single"/>
          <w:lang w:eastAsia="en-US"/>
        </w:rPr>
        <w:t>evolución de la ejecución</w:t>
      </w:r>
      <w:r>
        <w:rPr>
          <w:rFonts w:ascii="Arial" w:eastAsia="Calibri" w:hAnsi="Arial"/>
          <w:szCs w:val="22"/>
          <w:lang w:eastAsia="en-US"/>
        </w:rPr>
        <w:t xml:space="preserve"> de las operaciones y en particular, de aquellas incardinadas en el </w:t>
      </w:r>
      <w:r w:rsidR="00A5543A">
        <w:rPr>
          <w:rFonts w:ascii="Arial" w:eastAsia="Calibri" w:hAnsi="Arial"/>
          <w:szCs w:val="22"/>
          <w:lang w:eastAsia="en-US"/>
        </w:rPr>
        <w:t xml:space="preserve">Objetivo </w:t>
      </w:r>
      <w:r w:rsidR="00193A2C">
        <w:rPr>
          <w:rFonts w:ascii="Arial" w:eastAsia="Calibri" w:hAnsi="Arial"/>
          <w:szCs w:val="22"/>
          <w:lang w:eastAsia="en-US"/>
        </w:rPr>
        <w:t>Temático</w:t>
      </w:r>
      <w:r w:rsidR="00A5543A">
        <w:rPr>
          <w:rFonts w:ascii="Arial" w:eastAsia="Calibri" w:hAnsi="Arial"/>
          <w:szCs w:val="22"/>
          <w:lang w:eastAsia="en-US"/>
        </w:rPr>
        <w:t xml:space="preserve"> (en adelante </w:t>
      </w:r>
      <w:r>
        <w:rPr>
          <w:rFonts w:ascii="Arial" w:eastAsia="Calibri" w:hAnsi="Arial"/>
          <w:szCs w:val="22"/>
          <w:lang w:eastAsia="en-US"/>
        </w:rPr>
        <w:t>OT9</w:t>
      </w:r>
      <w:r w:rsidR="00A5543A">
        <w:rPr>
          <w:rFonts w:ascii="Arial" w:eastAsia="Calibri" w:hAnsi="Arial"/>
          <w:szCs w:val="22"/>
          <w:lang w:eastAsia="en-US"/>
        </w:rPr>
        <w:t>)</w:t>
      </w:r>
      <w:r>
        <w:rPr>
          <w:rFonts w:ascii="Arial" w:eastAsia="Calibri" w:hAnsi="Arial"/>
          <w:szCs w:val="22"/>
          <w:lang w:eastAsia="en-US"/>
        </w:rPr>
        <w:t xml:space="preserve"> de inclusión social, lucha contra la pobreza o cualquier otra forma de discriminación, entre las cuales se programan fundamentalmente las actuaciones dirigidas a </w:t>
      </w:r>
      <w:r w:rsidR="00193A2C">
        <w:rPr>
          <w:rFonts w:ascii="Arial" w:eastAsia="Calibri" w:hAnsi="Arial"/>
          <w:szCs w:val="22"/>
          <w:lang w:eastAsia="en-US"/>
        </w:rPr>
        <w:t>las</w:t>
      </w:r>
      <w:r>
        <w:rPr>
          <w:rFonts w:ascii="Arial" w:eastAsia="Calibri" w:hAnsi="Arial"/>
          <w:szCs w:val="22"/>
          <w:lang w:eastAsia="en-US"/>
        </w:rPr>
        <w:t xml:space="preserve"> personas con discapacidad. esto implica analizar el cumplimiento con las metas y objetivos previstos para dichas operaciones.</w:t>
      </w:r>
    </w:p>
    <w:p w:rsidR="006C0E51" w:rsidRDefault="006C0E51" w:rsidP="00B72FB0">
      <w:pPr>
        <w:pStyle w:val="Prrafodelista"/>
        <w:numPr>
          <w:ilvl w:val="0"/>
          <w:numId w:val="33"/>
        </w:numPr>
        <w:spacing w:line="360" w:lineRule="auto"/>
        <w:ind w:left="851" w:right="283"/>
        <w:rPr>
          <w:rFonts w:ascii="Arial" w:eastAsia="Calibri" w:hAnsi="Arial"/>
          <w:szCs w:val="22"/>
          <w:lang w:eastAsia="en-US"/>
        </w:rPr>
      </w:pPr>
      <w:r>
        <w:rPr>
          <w:rFonts w:ascii="Arial" w:eastAsia="Calibri" w:hAnsi="Arial"/>
          <w:szCs w:val="22"/>
          <w:lang w:eastAsia="en-US"/>
        </w:rPr>
        <w:t xml:space="preserve">La </w:t>
      </w:r>
      <w:r w:rsidRPr="006C0E51">
        <w:rPr>
          <w:rFonts w:ascii="Arial" w:eastAsia="Calibri" w:hAnsi="Arial"/>
          <w:szCs w:val="22"/>
          <w:u w:val="single"/>
          <w:lang w:eastAsia="en-US"/>
        </w:rPr>
        <w:t>recogida de datos</w:t>
      </w:r>
      <w:r>
        <w:rPr>
          <w:rFonts w:ascii="Arial" w:eastAsia="Calibri" w:hAnsi="Arial"/>
          <w:szCs w:val="22"/>
          <w:lang w:eastAsia="en-US"/>
        </w:rPr>
        <w:t xml:space="preserve"> relativos al número de personas con discapacidad participantes en las operaciones, cuando la tipología de las actuaciones lo permita. Estos datos están considerados indicadores comunes de ejecución. </w:t>
      </w:r>
    </w:p>
    <w:p w:rsidR="00410E6A" w:rsidRDefault="006C0E51" w:rsidP="00B72FB0">
      <w:pPr>
        <w:pStyle w:val="Prrafodelista"/>
        <w:numPr>
          <w:ilvl w:val="0"/>
          <w:numId w:val="33"/>
        </w:numPr>
        <w:spacing w:line="360" w:lineRule="auto"/>
        <w:ind w:left="851" w:right="283"/>
        <w:rPr>
          <w:rFonts w:ascii="Arial" w:eastAsia="Calibri" w:hAnsi="Arial"/>
          <w:szCs w:val="22"/>
          <w:lang w:eastAsia="en-US"/>
        </w:rPr>
      </w:pPr>
      <w:r>
        <w:rPr>
          <w:rFonts w:ascii="Arial" w:eastAsia="Calibri" w:hAnsi="Arial"/>
          <w:szCs w:val="22"/>
          <w:lang w:eastAsia="en-US"/>
        </w:rPr>
        <w:t xml:space="preserve">El </w:t>
      </w:r>
      <w:r w:rsidRPr="006C0E51">
        <w:rPr>
          <w:rFonts w:ascii="Arial" w:eastAsia="Calibri" w:hAnsi="Arial"/>
          <w:szCs w:val="22"/>
          <w:u w:val="single"/>
          <w:lang w:eastAsia="en-US"/>
        </w:rPr>
        <w:t xml:space="preserve">contenido de los </w:t>
      </w:r>
      <w:r w:rsidR="00572BE1">
        <w:rPr>
          <w:rFonts w:ascii="Arial" w:eastAsia="Calibri" w:hAnsi="Arial"/>
          <w:szCs w:val="22"/>
          <w:u w:val="single"/>
          <w:lang w:eastAsia="en-US"/>
        </w:rPr>
        <w:t>I</w:t>
      </w:r>
      <w:r w:rsidRPr="006C0E51">
        <w:rPr>
          <w:rFonts w:ascii="Arial" w:eastAsia="Calibri" w:hAnsi="Arial"/>
          <w:szCs w:val="22"/>
          <w:u w:val="single"/>
          <w:lang w:eastAsia="en-US"/>
        </w:rPr>
        <w:t xml:space="preserve">nformes </w:t>
      </w:r>
      <w:r w:rsidR="00572BE1">
        <w:rPr>
          <w:rFonts w:ascii="Arial" w:eastAsia="Calibri" w:hAnsi="Arial"/>
          <w:szCs w:val="22"/>
          <w:u w:val="single"/>
          <w:lang w:eastAsia="en-US"/>
        </w:rPr>
        <w:t>A</w:t>
      </w:r>
      <w:r w:rsidRPr="006C0E51">
        <w:rPr>
          <w:rFonts w:ascii="Arial" w:eastAsia="Calibri" w:hAnsi="Arial"/>
          <w:szCs w:val="22"/>
          <w:u w:val="single"/>
          <w:lang w:eastAsia="en-US"/>
        </w:rPr>
        <w:t xml:space="preserve">nuales de </w:t>
      </w:r>
      <w:r w:rsidR="00572BE1">
        <w:rPr>
          <w:rFonts w:ascii="Arial" w:eastAsia="Calibri" w:hAnsi="Arial"/>
          <w:szCs w:val="22"/>
          <w:u w:val="single"/>
          <w:lang w:eastAsia="en-US"/>
        </w:rPr>
        <w:t>E</w:t>
      </w:r>
      <w:r w:rsidRPr="006C0E51">
        <w:rPr>
          <w:rFonts w:ascii="Arial" w:eastAsia="Calibri" w:hAnsi="Arial"/>
          <w:szCs w:val="22"/>
          <w:u w:val="single"/>
          <w:lang w:eastAsia="en-US"/>
        </w:rPr>
        <w:t>jecución</w:t>
      </w:r>
      <w:r w:rsidRPr="00B16C4F">
        <w:rPr>
          <w:rFonts w:ascii="Arial" w:eastAsia="Calibri" w:hAnsi="Arial"/>
          <w:szCs w:val="22"/>
          <w:lang w:eastAsia="en-US"/>
        </w:rPr>
        <w:t xml:space="preserve"> (</w:t>
      </w:r>
      <w:r w:rsidR="00572BE1" w:rsidRPr="00B16C4F">
        <w:rPr>
          <w:rFonts w:ascii="Arial" w:eastAsia="Calibri" w:hAnsi="Arial"/>
          <w:szCs w:val="22"/>
          <w:lang w:eastAsia="en-US"/>
        </w:rPr>
        <w:t>en adelante</w:t>
      </w:r>
      <w:r w:rsidR="00A5543A" w:rsidRPr="00B16C4F">
        <w:rPr>
          <w:rFonts w:ascii="Arial" w:eastAsia="Calibri" w:hAnsi="Arial"/>
          <w:szCs w:val="22"/>
          <w:lang w:eastAsia="en-US"/>
        </w:rPr>
        <w:t xml:space="preserve"> </w:t>
      </w:r>
      <w:r w:rsidRPr="00B16C4F">
        <w:rPr>
          <w:rFonts w:ascii="Arial" w:eastAsia="Calibri" w:hAnsi="Arial"/>
          <w:szCs w:val="22"/>
          <w:lang w:eastAsia="en-US"/>
        </w:rPr>
        <w:t>IAE),</w:t>
      </w:r>
      <w:r>
        <w:rPr>
          <w:rFonts w:ascii="Arial" w:eastAsia="Calibri" w:hAnsi="Arial"/>
          <w:szCs w:val="22"/>
          <w:lang w:eastAsia="en-US"/>
        </w:rPr>
        <w:t xml:space="preserve"> por cuanto conviene que recoja</w:t>
      </w:r>
      <w:r w:rsidR="00815874">
        <w:rPr>
          <w:rFonts w:ascii="Arial" w:eastAsia="Calibri" w:hAnsi="Arial"/>
          <w:szCs w:val="22"/>
          <w:lang w:eastAsia="en-US"/>
        </w:rPr>
        <w:t>,</w:t>
      </w:r>
      <w:r>
        <w:rPr>
          <w:rFonts w:ascii="Arial" w:eastAsia="Calibri" w:hAnsi="Arial"/>
          <w:szCs w:val="22"/>
          <w:lang w:eastAsia="en-US"/>
        </w:rPr>
        <w:t xml:space="preserve"> en la medida de lo posible, la evolución de la ejecución del P</w:t>
      </w:r>
      <w:r w:rsidR="00815874">
        <w:rPr>
          <w:rFonts w:ascii="Arial" w:eastAsia="Calibri" w:hAnsi="Arial"/>
          <w:szCs w:val="22"/>
          <w:lang w:eastAsia="en-US"/>
        </w:rPr>
        <w:t>.</w:t>
      </w:r>
      <w:r>
        <w:rPr>
          <w:rFonts w:ascii="Arial" w:eastAsia="Calibri" w:hAnsi="Arial"/>
          <w:szCs w:val="22"/>
          <w:lang w:eastAsia="en-US"/>
        </w:rPr>
        <w:t>O</w:t>
      </w:r>
      <w:r w:rsidR="00815874">
        <w:rPr>
          <w:rFonts w:ascii="Arial" w:eastAsia="Calibri" w:hAnsi="Arial"/>
          <w:szCs w:val="22"/>
          <w:lang w:eastAsia="en-US"/>
        </w:rPr>
        <w:t>.</w:t>
      </w:r>
      <w:r>
        <w:rPr>
          <w:rFonts w:ascii="Arial" w:eastAsia="Calibri" w:hAnsi="Arial"/>
          <w:szCs w:val="22"/>
          <w:lang w:eastAsia="en-US"/>
        </w:rPr>
        <w:t xml:space="preserve"> en lo que concierne a las personas con discapacidad. </w:t>
      </w:r>
      <w:r w:rsidR="00572BE1">
        <w:rPr>
          <w:rFonts w:ascii="Arial" w:eastAsia="Calibri" w:hAnsi="Arial"/>
          <w:szCs w:val="22"/>
          <w:lang w:eastAsia="en-US"/>
        </w:rPr>
        <w:t>A</w:t>
      </w:r>
      <w:r>
        <w:rPr>
          <w:rFonts w:ascii="Arial" w:eastAsia="Calibri" w:hAnsi="Arial"/>
          <w:szCs w:val="22"/>
          <w:lang w:eastAsia="en-US"/>
        </w:rPr>
        <w:t>simismo, los CERMI deberán observar que los IAE correspondientes a 2017 y 2019 ofrecen información y evalúan las acciones concretas emprendidas para prevenir la discriminación y en particular en relación con la accesibilidad de la</w:t>
      </w:r>
      <w:r w:rsidR="003F288C">
        <w:rPr>
          <w:rFonts w:ascii="Arial" w:eastAsia="Calibri" w:hAnsi="Arial"/>
          <w:szCs w:val="22"/>
          <w:lang w:eastAsia="en-US"/>
        </w:rPr>
        <w:t>s personas con discapacidad, tal y como establece el Reglamento 1303</w:t>
      </w:r>
      <w:r w:rsidR="00572BE1">
        <w:rPr>
          <w:rFonts w:ascii="Arial" w:eastAsia="Calibri" w:hAnsi="Arial"/>
          <w:szCs w:val="22"/>
          <w:lang w:eastAsia="en-US"/>
        </w:rPr>
        <w:t>/2013</w:t>
      </w:r>
      <w:r w:rsidR="003F288C">
        <w:rPr>
          <w:rFonts w:ascii="Arial" w:eastAsia="Calibri" w:hAnsi="Arial"/>
          <w:szCs w:val="22"/>
          <w:lang w:eastAsia="en-US"/>
        </w:rPr>
        <w:t>.</w:t>
      </w:r>
    </w:p>
    <w:p w:rsidR="00DC32D2" w:rsidRPr="008727C2" w:rsidRDefault="003F288C" w:rsidP="00B72FB0">
      <w:pPr>
        <w:pStyle w:val="Prrafodelista"/>
        <w:numPr>
          <w:ilvl w:val="0"/>
          <w:numId w:val="33"/>
        </w:numPr>
        <w:spacing w:line="360" w:lineRule="auto"/>
        <w:ind w:left="851" w:right="283"/>
        <w:rPr>
          <w:rFonts w:ascii="Arial" w:eastAsia="Calibri" w:hAnsi="Arial"/>
          <w:szCs w:val="22"/>
          <w:lang w:eastAsia="en-US"/>
        </w:rPr>
      </w:pPr>
      <w:r w:rsidRPr="003F288C">
        <w:rPr>
          <w:rFonts w:ascii="Arial" w:eastAsia="Calibri" w:hAnsi="Arial"/>
          <w:szCs w:val="22"/>
          <w:u w:val="single"/>
          <w:lang w:eastAsia="en-US"/>
        </w:rPr>
        <w:t>Evaluaciones</w:t>
      </w:r>
      <w:r>
        <w:rPr>
          <w:rFonts w:ascii="Arial" w:eastAsia="Calibri" w:hAnsi="Arial"/>
          <w:szCs w:val="22"/>
          <w:lang w:eastAsia="en-US"/>
        </w:rPr>
        <w:t xml:space="preserve">. Los Comités de Seguimiento examinarán las evaluaciones del </w:t>
      </w:r>
      <w:r w:rsidR="005C096D">
        <w:rPr>
          <w:rFonts w:ascii="Arial" w:eastAsia="Calibri" w:hAnsi="Arial"/>
          <w:szCs w:val="22"/>
          <w:lang w:eastAsia="en-US"/>
        </w:rPr>
        <w:t>P.O.</w:t>
      </w:r>
      <w:r>
        <w:rPr>
          <w:rFonts w:ascii="Arial" w:eastAsia="Calibri" w:hAnsi="Arial"/>
          <w:szCs w:val="22"/>
          <w:lang w:eastAsia="en-US"/>
        </w:rPr>
        <w:t xml:space="preserve"> que, en el período 2014-2020, deberá ser evaluado al menos en una ocasión. A este respecto los CERMI pueden trabajar para que dichas evaluaciones expliciten información acerca de cómo el </w:t>
      </w:r>
      <w:r w:rsidR="005C096D">
        <w:rPr>
          <w:rFonts w:ascii="Arial" w:eastAsia="Calibri" w:hAnsi="Arial"/>
          <w:szCs w:val="22"/>
          <w:lang w:eastAsia="en-US"/>
        </w:rPr>
        <w:t>P.O.</w:t>
      </w:r>
      <w:r>
        <w:rPr>
          <w:rFonts w:ascii="Arial" w:eastAsia="Calibri" w:hAnsi="Arial"/>
          <w:szCs w:val="22"/>
          <w:lang w:eastAsia="en-US"/>
        </w:rPr>
        <w:t xml:space="preserve"> del FSE en su región ha contribuido a la inclusión social de las personas con discapacidad.</w:t>
      </w:r>
    </w:p>
    <w:p w:rsidR="00DC32D2" w:rsidRPr="00DC32D2" w:rsidRDefault="00DC32D2" w:rsidP="00B72FB0">
      <w:pPr>
        <w:pStyle w:val="Prrafodelista"/>
        <w:spacing w:before="0" w:after="0" w:line="360" w:lineRule="auto"/>
        <w:ind w:left="426" w:right="283"/>
        <w:rPr>
          <w:rFonts w:ascii="Arial" w:eastAsia="Calibri" w:hAnsi="Arial"/>
          <w:szCs w:val="22"/>
          <w:lang w:eastAsia="en-US"/>
        </w:rPr>
      </w:pPr>
    </w:p>
    <w:p w:rsidR="00C41C25" w:rsidRPr="00826FD0" w:rsidRDefault="00857440" w:rsidP="00B72FB0">
      <w:pPr>
        <w:pStyle w:val="Prrafodelista"/>
        <w:numPr>
          <w:ilvl w:val="0"/>
          <w:numId w:val="32"/>
        </w:numPr>
        <w:spacing w:before="0" w:line="360" w:lineRule="auto"/>
        <w:ind w:left="426" w:right="283" w:hanging="357"/>
        <w:rPr>
          <w:rFonts w:ascii="Arial" w:eastAsia="Calibri" w:hAnsi="Arial"/>
          <w:szCs w:val="22"/>
          <w:lang w:eastAsia="en-US"/>
        </w:rPr>
      </w:pPr>
      <w:r w:rsidRPr="00EE72FF">
        <w:rPr>
          <w:rFonts w:ascii="Arial" w:eastAsia="Calibri" w:hAnsi="Arial"/>
          <w:b/>
          <w:szCs w:val="22"/>
          <w:lang w:eastAsia="en-US"/>
        </w:rPr>
        <w:t>Contribuir a la aplicación de la Convención de las Naciones Unidas sobre los Derechos de las Personas con Discapacidad</w:t>
      </w:r>
      <w:r>
        <w:rPr>
          <w:rFonts w:ascii="Arial" w:eastAsia="Calibri" w:hAnsi="Arial"/>
          <w:szCs w:val="22"/>
          <w:lang w:eastAsia="en-US"/>
        </w:rPr>
        <w:t xml:space="preserve">. </w:t>
      </w:r>
      <w:r w:rsidR="003F288C">
        <w:rPr>
          <w:rFonts w:ascii="Arial" w:eastAsia="Calibri" w:hAnsi="Arial"/>
          <w:szCs w:val="22"/>
          <w:lang w:eastAsia="en-US"/>
        </w:rPr>
        <w:t>Los CERMI cuentan en est</w:t>
      </w:r>
      <w:r w:rsidR="006B02FE">
        <w:rPr>
          <w:rFonts w:ascii="Arial" w:eastAsia="Calibri" w:hAnsi="Arial"/>
          <w:szCs w:val="22"/>
          <w:lang w:eastAsia="en-US"/>
        </w:rPr>
        <w:t>e momento con una oportunidad inmejorable</w:t>
      </w:r>
      <w:r w:rsidR="003F288C">
        <w:rPr>
          <w:rFonts w:ascii="Arial" w:eastAsia="Calibri" w:hAnsi="Arial"/>
          <w:szCs w:val="22"/>
          <w:lang w:eastAsia="en-US"/>
        </w:rPr>
        <w:t xml:space="preserve"> de contribuir a la aplicación de la Convención de la </w:t>
      </w:r>
      <w:r w:rsidR="00427422">
        <w:rPr>
          <w:rFonts w:ascii="Arial" w:eastAsia="Calibri" w:hAnsi="Arial"/>
          <w:szCs w:val="22"/>
          <w:lang w:eastAsia="en-US"/>
        </w:rPr>
        <w:t>ONU</w:t>
      </w:r>
      <w:r w:rsidR="003F288C">
        <w:rPr>
          <w:rFonts w:ascii="Arial" w:eastAsia="Calibri" w:hAnsi="Arial"/>
          <w:szCs w:val="22"/>
          <w:lang w:eastAsia="en-US"/>
        </w:rPr>
        <w:t xml:space="preserve"> sobre los Derechos de las Personas con Discapacidad</w:t>
      </w:r>
      <w:r w:rsidR="00700B10">
        <w:rPr>
          <w:rFonts w:ascii="Arial" w:eastAsia="Calibri" w:hAnsi="Arial"/>
          <w:szCs w:val="22"/>
          <w:lang w:eastAsia="en-US"/>
        </w:rPr>
        <w:t xml:space="preserve"> en nuestro país. En ese sentido, el Anexo XI</w:t>
      </w:r>
      <w:r w:rsidR="003F288C">
        <w:rPr>
          <w:rFonts w:ascii="Arial" w:eastAsia="Calibri" w:hAnsi="Arial"/>
          <w:szCs w:val="22"/>
          <w:lang w:eastAsia="en-US"/>
        </w:rPr>
        <w:t xml:space="preserve"> </w:t>
      </w:r>
      <w:r w:rsidR="00700B10">
        <w:rPr>
          <w:rFonts w:ascii="Arial" w:eastAsia="Calibri" w:hAnsi="Arial"/>
          <w:szCs w:val="22"/>
          <w:lang w:eastAsia="en-US"/>
        </w:rPr>
        <w:t>del Reglamento 1303</w:t>
      </w:r>
      <w:r w:rsidR="00572BE1">
        <w:rPr>
          <w:rFonts w:ascii="Arial" w:eastAsia="Calibri" w:hAnsi="Arial"/>
          <w:szCs w:val="22"/>
          <w:lang w:eastAsia="en-US"/>
        </w:rPr>
        <w:t>/2013</w:t>
      </w:r>
      <w:r w:rsidR="00700B10">
        <w:rPr>
          <w:rFonts w:ascii="Arial" w:eastAsia="Calibri" w:hAnsi="Arial"/>
          <w:szCs w:val="22"/>
          <w:lang w:eastAsia="en-US"/>
        </w:rPr>
        <w:t xml:space="preserve"> establece dos condiciones ex ante sobre discapacidad a nuestro país, sujetas a evaluación en 2017, y susceptibles de derivar </w:t>
      </w:r>
      <w:r w:rsidR="00826FD0">
        <w:rPr>
          <w:rFonts w:ascii="Arial" w:eastAsia="Calibri" w:hAnsi="Arial"/>
          <w:szCs w:val="22"/>
          <w:lang w:eastAsia="en-US"/>
        </w:rPr>
        <w:t xml:space="preserve">en procedimientos de suspensión de pagos </w:t>
      </w:r>
      <w:r w:rsidR="00826FD0" w:rsidRPr="00826FD0">
        <w:rPr>
          <w:rFonts w:ascii="Arial" w:eastAsia="Calibri" w:hAnsi="Arial"/>
          <w:szCs w:val="22"/>
          <w:lang w:eastAsia="en-US"/>
        </w:rPr>
        <w:t xml:space="preserve">a España. </w:t>
      </w:r>
      <w:r w:rsidR="00427422">
        <w:rPr>
          <w:rFonts w:ascii="Arial" w:eastAsia="Calibri" w:hAnsi="Arial"/>
          <w:szCs w:val="22"/>
          <w:lang w:eastAsia="en-US"/>
        </w:rPr>
        <w:t xml:space="preserve">Las condiciones ex ante son cláusulas de carácter general y específico, de obligado cumplimiento, que la Comisión Europea ha establecido para </w:t>
      </w:r>
      <w:r w:rsidR="00CA3406">
        <w:rPr>
          <w:rFonts w:ascii="Arial" w:eastAsia="Calibri" w:hAnsi="Arial"/>
          <w:szCs w:val="22"/>
          <w:lang w:eastAsia="en-US"/>
        </w:rPr>
        <w:t xml:space="preserve">garantizar la eficacia y eficiencia en la aplicación de los Fondos EIE, </w:t>
      </w:r>
      <w:r w:rsidR="00246384">
        <w:rPr>
          <w:rFonts w:ascii="Arial" w:eastAsia="Calibri" w:hAnsi="Arial"/>
          <w:szCs w:val="22"/>
          <w:lang w:eastAsia="en-US"/>
        </w:rPr>
        <w:t xml:space="preserve">relacionadas con el marco normativo, la capacidad institucional o las políticas que desarrolla cada Estado miembro. </w:t>
      </w:r>
    </w:p>
    <w:p w:rsidR="00826FD0" w:rsidRDefault="00826FD0" w:rsidP="00B72FB0">
      <w:pPr>
        <w:pStyle w:val="Prrafodelista"/>
        <w:spacing w:line="360" w:lineRule="auto"/>
        <w:ind w:left="426" w:right="283"/>
        <w:rPr>
          <w:rFonts w:ascii="Arial" w:eastAsia="Calibri" w:hAnsi="Arial"/>
          <w:szCs w:val="22"/>
          <w:lang w:eastAsia="en-US"/>
        </w:rPr>
      </w:pPr>
      <w:r w:rsidRPr="00767AF6">
        <w:rPr>
          <w:rFonts w:ascii="Arial" w:eastAsia="Calibri" w:hAnsi="Arial"/>
          <w:b/>
          <w:szCs w:val="22"/>
          <w:lang w:eastAsia="en-US"/>
        </w:rPr>
        <w:t>La primera condición ex ante</w:t>
      </w:r>
      <w:r w:rsidRPr="00826FD0">
        <w:rPr>
          <w:rFonts w:ascii="Arial" w:eastAsia="Calibri" w:hAnsi="Arial"/>
          <w:szCs w:val="22"/>
          <w:lang w:eastAsia="en-US"/>
        </w:rPr>
        <w:t xml:space="preserve"> implica la existencia de capacidad administrativa para la aplicación y ejecución de la legislación y la política </w:t>
      </w:r>
      <w:r>
        <w:rPr>
          <w:rFonts w:ascii="Arial" w:eastAsia="Calibri" w:hAnsi="Arial"/>
          <w:szCs w:val="22"/>
          <w:lang w:eastAsia="en-US"/>
        </w:rPr>
        <w:t xml:space="preserve">de la UE en materia de no discriminación en el ámbito de los Fondos EIE. Los criterios establecidos para corroborar el cumplimiento con esta condición son la articulación de disposiciones que posibiliten la </w:t>
      </w:r>
      <w:r w:rsidRPr="00767AF6">
        <w:rPr>
          <w:rFonts w:ascii="Arial" w:eastAsia="Calibri" w:hAnsi="Arial"/>
          <w:szCs w:val="22"/>
          <w:u w:val="single"/>
          <w:lang w:eastAsia="en-US"/>
        </w:rPr>
        <w:t xml:space="preserve">participación de los organismos responsables de la igualdad de trato durante la elaboración y aplicación de los </w:t>
      </w:r>
      <w:r w:rsidR="005C096D">
        <w:rPr>
          <w:rFonts w:ascii="Arial" w:eastAsia="Calibri" w:hAnsi="Arial"/>
          <w:szCs w:val="22"/>
          <w:u w:val="single"/>
          <w:lang w:eastAsia="en-US"/>
        </w:rPr>
        <w:t>P.O.</w:t>
      </w:r>
      <w:r>
        <w:rPr>
          <w:rFonts w:ascii="Arial" w:eastAsia="Calibri" w:hAnsi="Arial"/>
          <w:szCs w:val="22"/>
          <w:lang w:eastAsia="en-US"/>
        </w:rPr>
        <w:t xml:space="preserve"> y la </w:t>
      </w:r>
      <w:r w:rsidRPr="00767AF6">
        <w:rPr>
          <w:rFonts w:ascii="Arial" w:eastAsia="Calibri" w:hAnsi="Arial"/>
          <w:szCs w:val="22"/>
          <w:u w:val="single"/>
          <w:lang w:eastAsia="en-US"/>
        </w:rPr>
        <w:t xml:space="preserve">formación </w:t>
      </w:r>
      <w:r w:rsidR="002253DE">
        <w:rPr>
          <w:rFonts w:ascii="Arial" w:eastAsia="Calibri" w:hAnsi="Arial"/>
          <w:szCs w:val="22"/>
          <w:u w:val="single"/>
          <w:lang w:eastAsia="en-US"/>
        </w:rPr>
        <w:t xml:space="preserve">ad hoc </w:t>
      </w:r>
      <w:r w:rsidRPr="00767AF6">
        <w:rPr>
          <w:rFonts w:ascii="Arial" w:eastAsia="Calibri" w:hAnsi="Arial"/>
          <w:szCs w:val="22"/>
          <w:u w:val="single"/>
          <w:lang w:eastAsia="en-US"/>
        </w:rPr>
        <w:t>del personal</w:t>
      </w:r>
      <w:r>
        <w:rPr>
          <w:rFonts w:ascii="Arial" w:eastAsia="Calibri" w:hAnsi="Arial"/>
          <w:szCs w:val="22"/>
          <w:lang w:eastAsia="en-US"/>
        </w:rPr>
        <w:t xml:space="preserve"> de las autoridades que participan en la gestión y control de los Fondos, así como la prestación de </w:t>
      </w:r>
      <w:r w:rsidRPr="00767AF6">
        <w:rPr>
          <w:rFonts w:ascii="Arial" w:eastAsia="Calibri" w:hAnsi="Arial"/>
          <w:szCs w:val="22"/>
          <w:u w:val="single"/>
          <w:lang w:eastAsia="en-US"/>
        </w:rPr>
        <w:t>asesoramiento</w:t>
      </w:r>
      <w:r>
        <w:rPr>
          <w:rFonts w:ascii="Arial" w:eastAsia="Calibri" w:hAnsi="Arial"/>
          <w:szCs w:val="22"/>
          <w:lang w:eastAsia="en-US"/>
        </w:rPr>
        <w:t xml:space="preserve"> sobre la igualdad en l</w:t>
      </w:r>
      <w:r w:rsidR="00767AF6">
        <w:rPr>
          <w:rFonts w:ascii="Arial" w:eastAsia="Calibri" w:hAnsi="Arial"/>
          <w:szCs w:val="22"/>
          <w:lang w:eastAsia="en-US"/>
        </w:rPr>
        <w:t>a</w:t>
      </w:r>
      <w:r>
        <w:rPr>
          <w:rFonts w:ascii="Arial" w:eastAsia="Calibri" w:hAnsi="Arial"/>
          <w:szCs w:val="22"/>
          <w:lang w:eastAsia="en-US"/>
        </w:rPr>
        <w:t>s actividades r</w:t>
      </w:r>
      <w:r w:rsidR="00767AF6">
        <w:rPr>
          <w:rFonts w:ascii="Arial" w:eastAsia="Calibri" w:hAnsi="Arial"/>
          <w:szCs w:val="22"/>
          <w:lang w:eastAsia="en-US"/>
        </w:rPr>
        <w:t>elacionadas con los Fondos FEI.</w:t>
      </w:r>
    </w:p>
    <w:p w:rsidR="002253DE" w:rsidRDefault="00767AF6" w:rsidP="00B72FB0">
      <w:pPr>
        <w:pStyle w:val="Prrafodelista"/>
        <w:spacing w:line="360" w:lineRule="auto"/>
        <w:ind w:left="426" w:right="283"/>
        <w:rPr>
          <w:rFonts w:ascii="Arial" w:eastAsia="Calibri" w:hAnsi="Arial"/>
          <w:szCs w:val="22"/>
          <w:lang w:eastAsia="en-US"/>
        </w:rPr>
      </w:pPr>
      <w:r>
        <w:rPr>
          <w:rFonts w:ascii="Arial" w:eastAsia="Calibri" w:hAnsi="Arial"/>
          <w:b/>
          <w:szCs w:val="22"/>
          <w:lang w:eastAsia="en-US"/>
        </w:rPr>
        <w:t xml:space="preserve">La segunda condición ex ante </w:t>
      </w:r>
      <w:r w:rsidRPr="00767AF6">
        <w:rPr>
          <w:rFonts w:ascii="Arial" w:eastAsia="Calibri" w:hAnsi="Arial"/>
          <w:szCs w:val="22"/>
          <w:lang w:eastAsia="en-US"/>
        </w:rPr>
        <w:t>se refiere a</w:t>
      </w:r>
      <w:r>
        <w:rPr>
          <w:rFonts w:ascii="Arial" w:eastAsia="Calibri" w:hAnsi="Arial"/>
          <w:b/>
          <w:szCs w:val="22"/>
          <w:lang w:eastAsia="en-US"/>
        </w:rPr>
        <w:t xml:space="preserve"> </w:t>
      </w:r>
      <w:r w:rsidRPr="00826FD0">
        <w:rPr>
          <w:rFonts w:ascii="Arial" w:eastAsia="Calibri" w:hAnsi="Arial"/>
          <w:szCs w:val="22"/>
          <w:lang w:eastAsia="en-US"/>
        </w:rPr>
        <w:t>la existencia de capacidad administrativa para</w:t>
      </w:r>
      <w:r>
        <w:rPr>
          <w:rFonts w:ascii="Arial" w:eastAsia="Calibri" w:hAnsi="Arial"/>
          <w:szCs w:val="22"/>
          <w:lang w:eastAsia="en-US"/>
        </w:rPr>
        <w:t xml:space="preserve"> la ejecución y aplicación de la Convención de la ONU sobre los derechos de las personas con discapacidad. Los criterios fijados para corroborar el cumplimiento con esta condición son la existencia de disposiciones que garanticen la consulta y la participación de las organizaciones que representan a las personas con discapacidad – entre otras -, en la elaboración y aplicación del </w:t>
      </w:r>
      <w:r w:rsidR="005C096D">
        <w:rPr>
          <w:rFonts w:ascii="Arial" w:eastAsia="Calibri" w:hAnsi="Arial"/>
          <w:szCs w:val="22"/>
          <w:lang w:eastAsia="en-US"/>
        </w:rPr>
        <w:t>P.O.</w:t>
      </w:r>
      <w:r>
        <w:rPr>
          <w:rFonts w:ascii="Arial" w:eastAsia="Calibri" w:hAnsi="Arial"/>
          <w:szCs w:val="22"/>
          <w:lang w:eastAsia="en-US"/>
        </w:rPr>
        <w:t xml:space="preserve">, la existencia de disposiciones que contemplen la </w:t>
      </w:r>
      <w:r w:rsidR="002253DE" w:rsidRPr="00767AF6">
        <w:rPr>
          <w:rFonts w:ascii="Arial" w:eastAsia="Calibri" w:hAnsi="Arial"/>
          <w:szCs w:val="22"/>
          <w:u w:val="single"/>
          <w:lang w:eastAsia="en-US"/>
        </w:rPr>
        <w:t xml:space="preserve">formación </w:t>
      </w:r>
      <w:r w:rsidR="002253DE">
        <w:rPr>
          <w:rFonts w:ascii="Arial" w:eastAsia="Calibri" w:hAnsi="Arial"/>
          <w:szCs w:val="22"/>
          <w:u w:val="single"/>
          <w:lang w:eastAsia="en-US"/>
        </w:rPr>
        <w:t xml:space="preserve">ad hoc </w:t>
      </w:r>
      <w:r w:rsidR="002253DE" w:rsidRPr="00767AF6">
        <w:rPr>
          <w:rFonts w:ascii="Arial" w:eastAsia="Calibri" w:hAnsi="Arial"/>
          <w:szCs w:val="22"/>
          <w:u w:val="single"/>
          <w:lang w:eastAsia="en-US"/>
        </w:rPr>
        <w:t>del personal</w:t>
      </w:r>
      <w:r w:rsidR="002253DE">
        <w:rPr>
          <w:rFonts w:ascii="Arial" w:eastAsia="Calibri" w:hAnsi="Arial"/>
          <w:szCs w:val="22"/>
          <w:lang w:eastAsia="en-US"/>
        </w:rPr>
        <w:t xml:space="preserve"> de las autoridades que participan en la gestión y control de los Fondos EIE, y de disposiciones que garanticen el seguimiento de la aplicación del </w:t>
      </w:r>
      <w:r w:rsidR="00193A2C">
        <w:rPr>
          <w:rFonts w:ascii="Arial" w:eastAsia="Calibri" w:hAnsi="Arial"/>
          <w:szCs w:val="22"/>
          <w:lang w:eastAsia="en-US"/>
        </w:rPr>
        <w:t>art. 9</w:t>
      </w:r>
      <w:r w:rsidR="002253DE">
        <w:rPr>
          <w:rFonts w:ascii="Arial" w:eastAsia="Calibri" w:hAnsi="Arial"/>
          <w:szCs w:val="22"/>
          <w:lang w:eastAsia="en-US"/>
        </w:rPr>
        <w:t xml:space="preserve"> de la Convención (sobre accesibilidad), en la elaboración y aplicación de los </w:t>
      </w:r>
      <w:r w:rsidR="005C096D">
        <w:rPr>
          <w:rFonts w:ascii="Arial" w:eastAsia="Calibri" w:hAnsi="Arial"/>
          <w:szCs w:val="22"/>
          <w:lang w:eastAsia="en-US"/>
        </w:rPr>
        <w:t>P.O.</w:t>
      </w:r>
      <w:r w:rsidR="002253DE">
        <w:rPr>
          <w:rFonts w:ascii="Arial" w:eastAsia="Calibri" w:hAnsi="Arial"/>
          <w:szCs w:val="22"/>
          <w:lang w:eastAsia="en-US"/>
        </w:rPr>
        <w:t xml:space="preserve"> de los F</w:t>
      </w:r>
      <w:r w:rsidR="00441071">
        <w:rPr>
          <w:rFonts w:ascii="Arial" w:eastAsia="Calibri" w:hAnsi="Arial"/>
          <w:szCs w:val="22"/>
          <w:lang w:eastAsia="en-US"/>
        </w:rPr>
        <w:t xml:space="preserve">ondos </w:t>
      </w:r>
      <w:r w:rsidR="002253DE">
        <w:rPr>
          <w:rFonts w:ascii="Arial" w:eastAsia="Calibri" w:hAnsi="Arial"/>
          <w:szCs w:val="22"/>
          <w:lang w:eastAsia="en-US"/>
        </w:rPr>
        <w:t xml:space="preserve">EIE. </w:t>
      </w:r>
    </w:p>
    <w:p w:rsidR="002253DE" w:rsidRDefault="002253DE" w:rsidP="00B72FB0">
      <w:pPr>
        <w:pStyle w:val="Prrafodelista"/>
        <w:spacing w:line="360" w:lineRule="auto"/>
        <w:ind w:left="426" w:right="283"/>
        <w:rPr>
          <w:rFonts w:ascii="Arial" w:eastAsia="Calibri" w:hAnsi="Arial"/>
          <w:szCs w:val="22"/>
          <w:lang w:eastAsia="en-US"/>
        </w:rPr>
      </w:pPr>
      <w:r w:rsidRPr="002253DE">
        <w:rPr>
          <w:rFonts w:ascii="Arial" w:eastAsia="Calibri" w:hAnsi="Arial"/>
          <w:szCs w:val="22"/>
          <w:lang w:eastAsia="en-US"/>
        </w:rPr>
        <w:t>Así pues, aunque a priori los Comités de Seguimi</w:t>
      </w:r>
      <w:r>
        <w:rPr>
          <w:rFonts w:ascii="Arial" w:eastAsia="Calibri" w:hAnsi="Arial"/>
          <w:szCs w:val="22"/>
          <w:lang w:eastAsia="en-US"/>
        </w:rPr>
        <w:t>e</w:t>
      </w:r>
      <w:r w:rsidRPr="002253DE">
        <w:rPr>
          <w:rFonts w:ascii="Arial" w:eastAsia="Calibri" w:hAnsi="Arial"/>
          <w:szCs w:val="22"/>
          <w:lang w:eastAsia="en-US"/>
        </w:rPr>
        <w:t>nto no tienen atribuida</w:t>
      </w:r>
      <w:r>
        <w:rPr>
          <w:rFonts w:ascii="Arial" w:eastAsia="Calibri" w:hAnsi="Arial"/>
          <w:szCs w:val="22"/>
          <w:lang w:eastAsia="en-US"/>
        </w:rPr>
        <w:t xml:space="preserve">s competencias a este respecto la presencia y participación de los CERMI en ellos contribuye </w:t>
      </w:r>
      <w:r>
        <w:rPr>
          <w:rFonts w:ascii="Arial" w:eastAsia="Calibri" w:hAnsi="Arial"/>
          <w:i/>
          <w:szCs w:val="22"/>
          <w:lang w:eastAsia="en-US"/>
        </w:rPr>
        <w:t>per se</w:t>
      </w:r>
      <w:r>
        <w:rPr>
          <w:rFonts w:ascii="Arial" w:eastAsia="Calibri" w:hAnsi="Arial"/>
          <w:szCs w:val="22"/>
          <w:lang w:eastAsia="en-US"/>
        </w:rPr>
        <w:t xml:space="preserve"> al cumplimiento con las condiciones ex ante en materia de discapacidad que contemplan los Reglamentos </w:t>
      </w:r>
      <w:r w:rsidR="00815874">
        <w:rPr>
          <w:rFonts w:ascii="Arial" w:eastAsia="Calibri" w:hAnsi="Arial"/>
          <w:szCs w:val="22"/>
          <w:lang w:eastAsia="en-US"/>
        </w:rPr>
        <w:t xml:space="preserve">Europeos </w:t>
      </w:r>
      <w:r>
        <w:rPr>
          <w:rFonts w:ascii="Arial" w:eastAsia="Calibri" w:hAnsi="Arial"/>
          <w:szCs w:val="22"/>
          <w:lang w:eastAsia="en-US"/>
        </w:rPr>
        <w:t xml:space="preserve">para España. </w:t>
      </w:r>
    </w:p>
    <w:p w:rsidR="00DC32D2" w:rsidRPr="008727C2" w:rsidRDefault="002253DE" w:rsidP="00B72FB0">
      <w:pPr>
        <w:pStyle w:val="Prrafodelista"/>
        <w:spacing w:line="360" w:lineRule="auto"/>
        <w:ind w:left="426" w:right="283"/>
        <w:rPr>
          <w:rFonts w:ascii="Arial" w:eastAsia="Calibri" w:hAnsi="Arial"/>
          <w:szCs w:val="22"/>
          <w:lang w:eastAsia="en-US"/>
        </w:rPr>
      </w:pPr>
      <w:r>
        <w:rPr>
          <w:rFonts w:ascii="Arial" w:eastAsia="Calibri" w:hAnsi="Arial"/>
          <w:szCs w:val="22"/>
          <w:lang w:eastAsia="en-US"/>
        </w:rPr>
        <w:t xml:space="preserve">Y son estos Comités los foros más apropiados para hacer el seguimiento de los avances producidos en lo relativo a dichas condiciones, en los que los CERMI pueden ponerse a disposición de las organizaciones responsables de la gestión de los </w:t>
      </w:r>
      <w:r w:rsidR="005C096D">
        <w:rPr>
          <w:rFonts w:ascii="Arial" w:eastAsia="Calibri" w:hAnsi="Arial"/>
          <w:szCs w:val="22"/>
          <w:lang w:eastAsia="en-US"/>
        </w:rPr>
        <w:t>P.O.</w:t>
      </w:r>
      <w:r>
        <w:rPr>
          <w:rFonts w:ascii="Arial" w:eastAsia="Calibri" w:hAnsi="Arial"/>
          <w:szCs w:val="22"/>
          <w:lang w:eastAsia="en-US"/>
        </w:rPr>
        <w:t xml:space="preserve"> para el refuerzo de la capacidad administrativa de las autoridades que demanda la Comisión Europea.</w:t>
      </w:r>
    </w:p>
    <w:p w:rsidR="00857440" w:rsidRDefault="00857440" w:rsidP="00B72FB0">
      <w:pPr>
        <w:pStyle w:val="Prrafodelista"/>
        <w:numPr>
          <w:ilvl w:val="0"/>
          <w:numId w:val="32"/>
        </w:numPr>
        <w:spacing w:before="120" w:line="360" w:lineRule="auto"/>
        <w:ind w:left="426" w:right="283" w:hanging="357"/>
        <w:rPr>
          <w:rFonts w:ascii="Arial" w:eastAsia="Calibri" w:hAnsi="Arial"/>
          <w:szCs w:val="22"/>
          <w:lang w:eastAsia="en-US"/>
        </w:rPr>
      </w:pPr>
      <w:r w:rsidRPr="00EE72FF">
        <w:rPr>
          <w:rFonts w:ascii="Arial" w:eastAsia="Calibri" w:hAnsi="Arial"/>
          <w:b/>
          <w:szCs w:val="22"/>
          <w:lang w:eastAsia="en-US"/>
        </w:rPr>
        <w:t xml:space="preserve">Contribuir a la visibilización de las personas con discapacidad mediante la Estrategia de Comunicación del </w:t>
      </w:r>
      <w:r w:rsidR="005C096D">
        <w:rPr>
          <w:rFonts w:ascii="Arial" w:eastAsia="Calibri" w:hAnsi="Arial"/>
          <w:b/>
          <w:szCs w:val="22"/>
          <w:lang w:eastAsia="en-US"/>
        </w:rPr>
        <w:t>P.O.</w:t>
      </w:r>
      <w:r>
        <w:rPr>
          <w:rFonts w:ascii="Arial" w:eastAsia="Calibri" w:hAnsi="Arial"/>
          <w:szCs w:val="22"/>
          <w:lang w:eastAsia="en-US"/>
        </w:rPr>
        <w:t xml:space="preserve"> </w:t>
      </w:r>
      <w:r w:rsidR="00EF1209">
        <w:rPr>
          <w:rFonts w:ascii="Arial" w:eastAsia="Calibri" w:hAnsi="Arial"/>
          <w:szCs w:val="22"/>
          <w:lang w:eastAsia="en-US"/>
        </w:rPr>
        <w:t>Finalmente, hay un aspecto</w:t>
      </w:r>
      <w:r w:rsidR="000C02C8">
        <w:rPr>
          <w:rFonts w:ascii="Arial" w:eastAsia="Calibri" w:hAnsi="Arial"/>
          <w:szCs w:val="22"/>
          <w:lang w:eastAsia="en-US"/>
        </w:rPr>
        <w:t xml:space="preserve"> muy</w:t>
      </w:r>
      <w:r w:rsidR="00EF1209">
        <w:rPr>
          <w:rFonts w:ascii="Arial" w:eastAsia="Calibri" w:hAnsi="Arial"/>
          <w:szCs w:val="22"/>
          <w:lang w:eastAsia="en-US"/>
        </w:rPr>
        <w:t xml:space="preserve"> relevante que con frecuencia suele </w:t>
      </w:r>
      <w:r w:rsidR="000C02C8">
        <w:rPr>
          <w:rFonts w:ascii="Arial" w:eastAsia="Calibri" w:hAnsi="Arial"/>
          <w:szCs w:val="22"/>
          <w:lang w:eastAsia="en-US"/>
        </w:rPr>
        <w:t>pasar desapercibido</w:t>
      </w:r>
      <w:r w:rsidR="00F44691">
        <w:rPr>
          <w:rFonts w:ascii="Arial" w:eastAsia="Calibri" w:hAnsi="Arial"/>
          <w:szCs w:val="22"/>
          <w:lang w:eastAsia="en-US"/>
        </w:rPr>
        <w:t xml:space="preserve"> y es la incidencia que tienen las</w:t>
      </w:r>
      <w:r w:rsidR="00EF1209">
        <w:rPr>
          <w:rFonts w:ascii="Arial" w:eastAsia="Calibri" w:hAnsi="Arial"/>
          <w:szCs w:val="22"/>
          <w:lang w:eastAsia="en-US"/>
        </w:rPr>
        <w:t xml:space="preserve"> estrategias de comunicación</w:t>
      </w:r>
      <w:r w:rsidR="00F44691">
        <w:rPr>
          <w:rFonts w:ascii="Arial" w:eastAsia="Calibri" w:hAnsi="Arial"/>
          <w:szCs w:val="22"/>
          <w:lang w:eastAsia="en-US"/>
        </w:rPr>
        <w:t xml:space="preserve"> del correspondiente </w:t>
      </w:r>
      <w:r w:rsidR="005C096D">
        <w:rPr>
          <w:rFonts w:ascii="Arial" w:eastAsia="Calibri" w:hAnsi="Arial"/>
          <w:szCs w:val="22"/>
          <w:lang w:eastAsia="en-US"/>
        </w:rPr>
        <w:t>P.O.</w:t>
      </w:r>
      <w:r w:rsidR="00F44691">
        <w:rPr>
          <w:rFonts w:ascii="Arial" w:eastAsia="Calibri" w:hAnsi="Arial"/>
          <w:szCs w:val="22"/>
          <w:lang w:eastAsia="en-US"/>
        </w:rPr>
        <w:t xml:space="preserve">, que constituye uno de los puntos del orden del día en las reuniones anuales del Comité de Seguimiento. </w:t>
      </w:r>
    </w:p>
    <w:p w:rsidR="00F44691" w:rsidRDefault="00F44691" w:rsidP="00B72FB0">
      <w:pPr>
        <w:pStyle w:val="Prrafodelista"/>
        <w:spacing w:line="360" w:lineRule="auto"/>
        <w:ind w:left="426" w:right="283"/>
        <w:rPr>
          <w:rFonts w:ascii="Arial" w:eastAsia="Calibri" w:hAnsi="Arial"/>
          <w:szCs w:val="22"/>
          <w:lang w:eastAsia="en-US"/>
        </w:rPr>
      </w:pPr>
      <w:r>
        <w:rPr>
          <w:rFonts w:ascii="Arial" w:eastAsia="Calibri" w:hAnsi="Arial"/>
          <w:szCs w:val="22"/>
          <w:lang w:eastAsia="en-US"/>
        </w:rPr>
        <w:t xml:space="preserve">La Estrategia de Comunicación resulta un instrumento importante para garantizar la accesibilidad de las personas con discapacidad a los Fondos desde un doble enfoque: en primer lugar como el medio para hacer llegar a las personas con discapacidad la </w:t>
      </w:r>
      <w:r w:rsidRPr="00F44691">
        <w:rPr>
          <w:rFonts w:ascii="Arial" w:eastAsia="Calibri" w:hAnsi="Arial"/>
          <w:b/>
          <w:szCs w:val="22"/>
          <w:lang w:eastAsia="en-US"/>
        </w:rPr>
        <w:t>información sobre las posibilidades de cofinanciación y de potencial participación,</w:t>
      </w:r>
      <w:r>
        <w:rPr>
          <w:rFonts w:ascii="Arial" w:eastAsia="Calibri" w:hAnsi="Arial"/>
          <w:szCs w:val="22"/>
          <w:lang w:eastAsia="en-US"/>
        </w:rPr>
        <w:t xml:space="preserve"> y en segundo lugar, como </w:t>
      </w:r>
      <w:r w:rsidRPr="00F44691">
        <w:rPr>
          <w:rFonts w:ascii="Arial" w:eastAsia="Calibri" w:hAnsi="Arial"/>
          <w:b/>
          <w:szCs w:val="22"/>
          <w:lang w:eastAsia="en-US"/>
        </w:rPr>
        <w:t>plataforma para visibilizar</w:t>
      </w:r>
      <w:r>
        <w:rPr>
          <w:rFonts w:ascii="Arial" w:eastAsia="Calibri" w:hAnsi="Arial"/>
          <w:szCs w:val="22"/>
          <w:lang w:eastAsia="en-US"/>
        </w:rPr>
        <w:t xml:space="preserve"> a las personas con discapacidad, contribuyendo a su normalización e inclusión social. </w:t>
      </w:r>
    </w:p>
    <w:p w:rsidR="00F44691" w:rsidRDefault="00F44691" w:rsidP="00B72FB0">
      <w:pPr>
        <w:pStyle w:val="Prrafodelista"/>
        <w:spacing w:line="360" w:lineRule="auto"/>
        <w:ind w:left="426" w:right="283"/>
        <w:rPr>
          <w:rFonts w:ascii="Arial" w:eastAsia="Calibri" w:hAnsi="Arial"/>
          <w:szCs w:val="22"/>
          <w:lang w:eastAsia="en-US"/>
        </w:rPr>
      </w:pPr>
      <w:r>
        <w:rPr>
          <w:rFonts w:ascii="Arial" w:eastAsia="Calibri" w:hAnsi="Arial"/>
          <w:szCs w:val="22"/>
          <w:lang w:eastAsia="en-US"/>
        </w:rPr>
        <w:t xml:space="preserve">Así pues, los CERMI pueden desempeñar un papel en cuanto a la Estrategia de Comunicación del </w:t>
      </w:r>
      <w:r w:rsidR="005C096D">
        <w:rPr>
          <w:rFonts w:ascii="Arial" w:eastAsia="Calibri" w:hAnsi="Arial"/>
          <w:szCs w:val="22"/>
          <w:lang w:eastAsia="en-US"/>
        </w:rPr>
        <w:t>P.O.</w:t>
      </w:r>
      <w:r>
        <w:rPr>
          <w:rFonts w:ascii="Arial" w:eastAsia="Calibri" w:hAnsi="Arial"/>
          <w:szCs w:val="22"/>
          <w:lang w:eastAsia="en-US"/>
        </w:rPr>
        <w:t xml:space="preserve"> que se vehicule en torno a las siguientes pautas: </w:t>
      </w:r>
    </w:p>
    <w:p w:rsidR="00F44691" w:rsidRDefault="00EC6CF9" w:rsidP="00B72FB0">
      <w:pPr>
        <w:pStyle w:val="Prrafodelista"/>
        <w:numPr>
          <w:ilvl w:val="0"/>
          <w:numId w:val="33"/>
        </w:numPr>
        <w:spacing w:line="360" w:lineRule="auto"/>
        <w:ind w:left="993" w:right="283"/>
        <w:rPr>
          <w:rFonts w:ascii="Arial" w:eastAsia="Calibri" w:hAnsi="Arial"/>
          <w:szCs w:val="22"/>
          <w:lang w:eastAsia="en-US"/>
        </w:rPr>
      </w:pPr>
      <w:r w:rsidRPr="00EC6CF9">
        <w:rPr>
          <w:rFonts w:ascii="Arial" w:eastAsia="Calibri" w:hAnsi="Arial"/>
          <w:b/>
          <w:szCs w:val="22"/>
          <w:lang w:eastAsia="en-US"/>
        </w:rPr>
        <w:t>Garantía de accesibilidad a la información</w:t>
      </w:r>
      <w:r>
        <w:rPr>
          <w:rFonts w:ascii="Arial" w:eastAsia="Calibri" w:hAnsi="Arial"/>
          <w:szCs w:val="22"/>
          <w:lang w:eastAsia="en-US"/>
        </w:rPr>
        <w:t>. Los organismos gestores e intermedios del Po deberán hacer un esfuerzo por garantizar que la información sobre los F</w:t>
      </w:r>
      <w:r w:rsidR="003D13F0">
        <w:rPr>
          <w:rFonts w:ascii="Arial" w:eastAsia="Calibri" w:hAnsi="Arial"/>
          <w:szCs w:val="22"/>
          <w:lang w:eastAsia="en-US"/>
        </w:rPr>
        <w:t xml:space="preserve">ondos </w:t>
      </w:r>
      <w:r>
        <w:rPr>
          <w:rFonts w:ascii="Arial" w:eastAsia="Calibri" w:hAnsi="Arial"/>
          <w:szCs w:val="22"/>
          <w:lang w:eastAsia="en-US"/>
        </w:rPr>
        <w:t xml:space="preserve">EIE y en particular, del FSE, es accesible para las personas con discapacidad, para lo cual sería deseable que se emplearan soportes de información y divulgación que sean accesibles a todos los públicos y que cumplan con los estándares de accesibilidad universal (w3c en páginas web, por ejemplo), previendo el uso de nuevos formatos y programando actuaciones de comunicación y divulgación del </w:t>
      </w:r>
      <w:r w:rsidR="005C096D">
        <w:rPr>
          <w:rFonts w:ascii="Arial" w:eastAsia="Calibri" w:hAnsi="Arial"/>
          <w:szCs w:val="22"/>
          <w:lang w:eastAsia="en-US"/>
        </w:rPr>
        <w:t>P.O.</w:t>
      </w:r>
      <w:r>
        <w:rPr>
          <w:rFonts w:ascii="Arial" w:eastAsia="Calibri" w:hAnsi="Arial"/>
          <w:szCs w:val="22"/>
          <w:lang w:eastAsia="en-US"/>
        </w:rPr>
        <w:t xml:space="preserve"> que sean sensibles a las necesidades de las personas con discapacidad.</w:t>
      </w:r>
      <w:r w:rsidR="008A49F9">
        <w:rPr>
          <w:rFonts w:ascii="Arial" w:eastAsia="Calibri" w:hAnsi="Arial"/>
          <w:szCs w:val="22"/>
          <w:lang w:eastAsia="en-US"/>
        </w:rPr>
        <w:t xml:space="preserve"> </w:t>
      </w:r>
      <w:r>
        <w:rPr>
          <w:rFonts w:ascii="Arial" w:eastAsia="Calibri" w:hAnsi="Arial"/>
          <w:szCs w:val="22"/>
          <w:lang w:eastAsia="en-US"/>
        </w:rPr>
        <w:t xml:space="preserve"> </w:t>
      </w:r>
    </w:p>
    <w:p w:rsidR="00EC6CF9" w:rsidRDefault="00AD78B6" w:rsidP="00B72FB0">
      <w:pPr>
        <w:pStyle w:val="Prrafodelista"/>
        <w:numPr>
          <w:ilvl w:val="0"/>
          <w:numId w:val="33"/>
        </w:numPr>
        <w:spacing w:line="360" w:lineRule="auto"/>
        <w:ind w:left="993" w:right="283"/>
        <w:rPr>
          <w:rFonts w:ascii="Arial" w:eastAsia="Calibri" w:hAnsi="Arial"/>
          <w:szCs w:val="22"/>
          <w:lang w:eastAsia="en-US"/>
        </w:rPr>
      </w:pPr>
      <w:r>
        <w:rPr>
          <w:rFonts w:ascii="Arial" w:eastAsia="Calibri" w:hAnsi="Arial"/>
          <w:b/>
          <w:szCs w:val="22"/>
          <w:lang w:eastAsia="en-US"/>
        </w:rPr>
        <w:t xml:space="preserve">Visibilización de las </w:t>
      </w:r>
      <w:r w:rsidRPr="00AD78B6">
        <w:rPr>
          <w:rFonts w:ascii="Arial" w:eastAsia="Calibri" w:hAnsi="Arial"/>
          <w:b/>
          <w:szCs w:val="22"/>
          <w:lang w:eastAsia="en-US"/>
        </w:rPr>
        <w:t>personas con discapacidad</w:t>
      </w:r>
      <w:r>
        <w:rPr>
          <w:rFonts w:ascii="Arial" w:eastAsia="Calibri" w:hAnsi="Arial"/>
          <w:b/>
          <w:szCs w:val="22"/>
          <w:lang w:eastAsia="en-US"/>
        </w:rPr>
        <w:t xml:space="preserve">. </w:t>
      </w:r>
      <w:r w:rsidR="006947F6" w:rsidRPr="006947F6">
        <w:rPr>
          <w:rFonts w:ascii="Arial" w:eastAsia="Calibri" w:hAnsi="Arial"/>
          <w:szCs w:val="22"/>
          <w:lang w:eastAsia="en-US"/>
        </w:rPr>
        <w:t>L</w:t>
      </w:r>
      <w:r w:rsidR="006947F6">
        <w:rPr>
          <w:rFonts w:ascii="Arial" w:eastAsia="Calibri" w:hAnsi="Arial"/>
          <w:szCs w:val="22"/>
          <w:lang w:eastAsia="en-US"/>
        </w:rPr>
        <w:t xml:space="preserve">a segunda orientación </w:t>
      </w:r>
      <w:r w:rsidR="003C21C8">
        <w:rPr>
          <w:rFonts w:ascii="Arial" w:eastAsia="Calibri" w:hAnsi="Arial"/>
          <w:szCs w:val="22"/>
          <w:lang w:eastAsia="en-US"/>
        </w:rPr>
        <w:t xml:space="preserve">a los CERMI </w:t>
      </w:r>
      <w:r w:rsidR="006947F6">
        <w:rPr>
          <w:rFonts w:ascii="Arial" w:eastAsia="Calibri" w:hAnsi="Arial"/>
          <w:szCs w:val="22"/>
          <w:lang w:eastAsia="en-US"/>
        </w:rPr>
        <w:t xml:space="preserve">se dirige a la visibilización </w:t>
      </w:r>
      <w:r w:rsidR="00E021B8">
        <w:rPr>
          <w:rFonts w:ascii="Arial" w:eastAsia="Calibri" w:hAnsi="Arial"/>
          <w:szCs w:val="22"/>
          <w:lang w:eastAsia="en-US"/>
        </w:rPr>
        <w:t>de las personas con discapacidad que participan y/o se benefician de las actuaciones cofinanciadas</w:t>
      </w:r>
      <w:r w:rsidR="008A49F9">
        <w:rPr>
          <w:rFonts w:ascii="Arial" w:eastAsia="Calibri" w:hAnsi="Arial"/>
          <w:szCs w:val="22"/>
          <w:lang w:eastAsia="en-US"/>
        </w:rPr>
        <w:t xml:space="preserve"> </w:t>
      </w:r>
      <w:r w:rsidR="00E021B8">
        <w:rPr>
          <w:rFonts w:ascii="Arial" w:eastAsia="Calibri" w:hAnsi="Arial"/>
          <w:szCs w:val="22"/>
          <w:lang w:eastAsia="en-US"/>
        </w:rPr>
        <w:t xml:space="preserve">por el FSE, a través de las actuaciones de divulgación y comunicación del </w:t>
      </w:r>
      <w:r w:rsidR="005C096D">
        <w:rPr>
          <w:rFonts w:ascii="Arial" w:eastAsia="Calibri" w:hAnsi="Arial"/>
          <w:szCs w:val="22"/>
          <w:lang w:eastAsia="en-US"/>
        </w:rPr>
        <w:t>P.O.</w:t>
      </w:r>
      <w:r w:rsidR="00E021B8">
        <w:rPr>
          <w:rFonts w:ascii="Arial" w:eastAsia="Calibri" w:hAnsi="Arial"/>
          <w:szCs w:val="22"/>
          <w:lang w:eastAsia="en-US"/>
        </w:rPr>
        <w:t xml:space="preserve"> </w:t>
      </w:r>
      <w:r w:rsidR="003C21C8">
        <w:rPr>
          <w:rFonts w:ascii="Arial" w:eastAsia="Calibri" w:hAnsi="Arial"/>
          <w:szCs w:val="22"/>
          <w:lang w:eastAsia="en-US"/>
        </w:rPr>
        <w:t xml:space="preserve">Esta visibilización puede impregnar los soportes digitales, las páginas web, los materiales producidos (folletos, manuales, posters, carteles, etc.), así como cualesquiera eventos u actos públicos organizados en el marco del </w:t>
      </w:r>
      <w:r w:rsidR="005C096D">
        <w:rPr>
          <w:rFonts w:ascii="Arial" w:eastAsia="Calibri" w:hAnsi="Arial"/>
          <w:szCs w:val="22"/>
          <w:lang w:eastAsia="en-US"/>
        </w:rPr>
        <w:t>P.O.</w:t>
      </w:r>
      <w:r w:rsidR="003C21C8">
        <w:rPr>
          <w:rFonts w:ascii="Arial" w:eastAsia="Calibri" w:hAnsi="Arial"/>
          <w:szCs w:val="22"/>
          <w:lang w:eastAsia="en-US"/>
        </w:rPr>
        <w:t xml:space="preserve"> Así, los CERMI deberían defender la necesidad de recoger los testimonios de las personas con discapacidad participantes en las actuaciones bajo la forma de testimonios pero también en la iconografía e imágenes empleadas (fotografías que ilustren los materiales, imágenes prediseñadas, gráficos, viñetas y otros elementos iconográficos o visuales). </w:t>
      </w:r>
    </w:p>
    <w:p w:rsidR="00E021B8" w:rsidRPr="00E021B8" w:rsidRDefault="00E021B8" w:rsidP="00B72FB0">
      <w:pPr>
        <w:pStyle w:val="Prrafodelista"/>
        <w:spacing w:line="360" w:lineRule="auto"/>
        <w:ind w:left="993" w:right="283"/>
        <w:rPr>
          <w:rFonts w:ascii="Arial" w:eastAsia="Calibri" w:hAnsi="Arial"/>
          <w:szCs w:val="22"/>
          <w:lang w:eastAsia="en-US"/>
        </w:rPr>
      </w:pPr>
      <w:r>
        <w:rPr>
          <w:rFonts w:ascii="Arial" w:eastAsia="Calibri" w:hAnsi="Arial"/>
          <w:szCs w:val="22"/>
          <w:lang w:eastAsia="en-US"/>
        </w:rPr>
        <w:t xml:space="preserve">Esta visibilización puede ayudar, además, a la generación de referentes positivos entre las propias personas con discapacidad. </w:t>
      </w:r>
    </w:p>
    <w:p w:rsidR="005D6775" w:rsidRPr="005D6775" w:rsidRDefault="00AD78B6" w:rsidP="00B72FB0">
      <w:pPr>
        <w:pStyle w:val="Prrafodelista"/>
        <w:numPr>
          <w:ilvl w:val="0"/>
          <w:numId w:val="33"/>
        </w:numPr>
        <w:spacing w:line="360" w:lineRule="auto"/>
        <w:ind w:left="993" w:right="283"/>
        <w:rPr>
          <w:rFonts w:ascii="Arial" w:eastAsia="Calibri" w:hAnsi="Arial"/>
          <w:szCs w:val="22"/>
          <w:lang w:eastAsia="en-US"/>
        </w:rPr>
      </w:pPr>
      <w:r w:rsidRPr="00AD78B6">
        <w:rPr>
          <w:rFonts w:ascii="Arial" w:eastAsia="Calibri" w:hAnsi="Arial"/>
          <w:b/>
          <w:szCs w:val="22"/>
          <w:lang w:eastAsia="en-US"/>
        </w:rPr>
        <w:t xml:space="preserve">Inclusión de las personas con discapacidad en la comunicación </w:t>
      </w:r>
      <w:r w:rsidR="005D6775">
        <w:rPr>
          <w:rFonts w:ascii="Arial" w:eastAsia="Calibri" w:hAnsi="Arial"/>
          <w:b/>
          <w:szCs w:val="22"/>
          <w:lang w:eastAsia="en-US"/>
        </w:rPr>
        <w:t>d</w:t>
      </w:r>
      <w:r w:rsidRPr="00AD78B6">
        <w:rPr>
          <w:rFonts w:ascii="Arial" w:eastAsia="Calibri" w:hAnsi="Arial"/>
          <w:b/>
          <w:szCs w:val="22"/>
          <w:lang w:eastAsia="en-US"/>
        </w:rPr>
        <w:t xml:space="preserve">el </w:t>
      </w:r>
      <w:r w:rsidR="005C096D">
        <w:rPr>
          <w:rFonts w:ascii="Arial" w:eastAsia="Calibri" w:hAnsi="Arial"/>
          <w:b/>
          <w:szCs w:val="22"/>
          <w:lang w:eastAsia="en-US"/>
        </w:rPr>
        <w:t>P.O.</w:t>
      </w:r>
      <w:r>
        <w:rPr>
          <w:rFonts w:ascii="Arial" w:eastAsia="Calibri" w:hAnsi="Arial"/>
          <w:szCs w:val="22"/>
          <w:lang w:eastAsia="en-US"/>
        </w:rPr>
        <w:t xml:space="preserve"> </w:t>
      </w:r>
      <w:r w:rsidR="006D38A6">
        <w:rPr>
          <w:rFonts w:ascii="Arial" w:eastAsia="Calibri" w:hAnsi="Arial"/>
          <w:szCs w:val="22"/>
          <w:lang w:eastAsia="en-US"/>
        </w:rPr>
        <w:t xml:space="preserve">Finalmente, </w:t>
      </w:r>
      <w:r w:rsidR="005D6775">
        <w:rPr>
          <w:rFonts w:ascii="Arial" w:eastAsia="Calibri" w:hAnsi="Arial"/>
          <w:szCs w:val="22"/>
          <w:lang w:eastAsia="en-US"/>
        </w:rPr>
        <w:t xml:space="preserve">es posible luchar por dar un paso más en la dirección de una incorporación transversal a la Estrategia de comunicación del </w:t>
      </w:r>
      <w:r w:rsidR="005C096D">
        <w:rPr>
          <w:rFonts w:ascii="Arial" w:eastAsia="Calibri" w:hAnsi="Arial"/>
          <w:szCs w:val="22"/>
          <w:lang w:eastAsia="en-US"/>
        </w:rPr>
        <w:t>P.O.</w:t>
      </w:r>
      <w:r w:rsidR="005D6775">
        <w:rPr>
          <w:rFonts w:ascii="Arial" w:eastAsia="Calibri" w:hAnsi="Arial"/>
          <w:szCs w:val="22"/>
          <w:lang w:eastAsia="en-US"/>
        </w:rPr>
        <w:t xml:space="preserve"> de los intereses de las personas con discapacidad, lo que implica una naturalización y sistematicidad de esta perspectiva. Para ello los CERMI deben ser reconocidos en el ámbito de los Fondos EIE como los interlocutores en materia de discapacidad, para que de forma normalizada se les consulte, pida asesoramiento, se les invite a participar en los foros y eventos públicos, logrando una normalización de la discapacidad, en toda su diversidad, en la información y comunicación de los Fondos. Alcanzar este objetivo será un proceso que requerirá de un trabajo continuado por parte de los CERMI en el ámbito de los </w:t>
      </w:r>
      <w:r w:rsidR="00DC32D2">
        <w:rPr>
          <w:rFonts w:ascii="Arial" w:eastAsia="Calibri" w:hAnsi="Arial"/>
          <w:szCs w:val="22"/>
          <w:lang w:eastAsia="en-US"/>
        </w:rPr>
        <w:t>FEIE</w:t>
      </w:r>
      <w:r w:rsidR="005D6775">
        <w:rPr>
          <w:rFonts w:ascii="Arial" w:eastAsia="Calibri" w:hAnsi="Arial"/>
          <w:szCs w:val="22"/>
          <w:lang w:eastAsia="en-US"/>
        </w:rPr>
        <w:t xml:space="preserve">. </w:t>
      </w:r>
    </w:p>
    <w:p w:rsidR="00B53DFD" w:rsidRDefault="00B53DFD" w:rsidP="00B72FB0">
      <w:pPr>
        <w:rPr>
          <w:rFonts w:eastAsia="Calibri"/>
          <w:lang w:eastAsia="en-US"/>
        </w:rPr>
      </w:pPr>
    </w:p>
    <w:p w:rsidR="00B53DFD" w:rsidRDefault="00B53DFD" w:rsidP="00B72FB0">
      <w:pPr>
        <w:spacing w:line="360" w:lineRule="auto"/>
        <w:ind w:left="426"/>
        <w:rPr>
          <w:rFonts w:ascii="Arial" w:eastAsia="Calibri" w:hAnsi="Arial"/>
          <w:b/>
          <w:bCs/>
          <w:lang w:eastAsia="en-US"/>
        </w:rPr>
      </w:pPr>
      <w:r w:rsidRPr="00B53DFD">
        <w:rPr>
          <w:rFonts w:ascii="Arial" w:eastAsia="Calibri" w:hAnsi="Arial"/>
          <w:szCs w:val="22"/>
          <w:lang w:eastAsia="en-US"/>
        </w:rPr>
        <w:t xml:space="preserve">Para más información, puede consultarse la </w:t>
      </w:r>
      <w:r>
        <w:rPr>
          <w:rFonts w:ascii="Arial" w:eastAsia="Calibri" w:hAnsi="Arial"/>
          <w:szCs w:val="22"/>
          <w:lang w:eastAsia="en-US"/>
        </w:rPr>
        <w:t xml:space="preserve">Guía sobre </w:t>
      </w:r>
      <w:hyperlink r:id="rId17" w:history="1">
        <w:r w:rsidRPr="00B53DFD">
          <w:rPr>
            <w:rStyle w:val="Hipervnculo"/>
            <w:rFonts w:ascii="Arial" w:eastAsia="Calibri" w:hAnsi="Arial"/>
            <w:b/>
            <w:bCs/>
            <w:lang w:eastAsia="en-US"/>
          </w:rPr>
          <w:t>Fondos Estructurales y de Inversión Europeos 2014-2020: Oportunidades para la discapacidad</w:t>
        </w:r>
      </w:hyperlink>
      <w:r>
        <w:rPr>
          <w:rFonts w:ascii="Arial" w:eastAsia="Calibri" w:hAnsi="Arial"/>
          <w:b/>
          <w:bCs/>
          <w:lang w:eastAsia="en-US"/>
        </w:rPr>
        <w:t xml:space="preserve">. </w:t>
      </w:r>
    </w:p>
    <w:p w:rsidR="00D7794A" w:rsidRDefault="00D7794A" w:rsidP="00B72FB0">
      <w:pPr>
        <w:spacing w:before="0" w:after="0"/>
        <w:jc w:val="left"/>
        <w:rPr>
          <w:rFonts w:ascii="Arial" w:hAnsi="Arial" w:cs="Arial"/>
          <w:b/>
          <w:sz w:val="28"/>
          <w:szCs w:val="28"/>
          <w:u w:val="single"/>
          <w:lang w:val="es-ES_tradnl"/>
        </w:rPr>
      </w:pPr>
      <w:r>
        <w:rPr>
          <w:rFonts w:ascii="Arial" w:hAnsi="Arial" w:cs="Arial"/>
          <w:b/>
          <w:sz w:val="28"/>
          <w:szCs w:val="28"/>
          <w:u w:val="single"/>
          <w:lang w:val="es-ES_tradnl"/>
        </w:rPr>
        <w:br w:type="page"/>
      </w:r>
    </w:p>
    <w:p w:rsidR="00230704" w:rsidRPr="00230704" w:rsidRDefault="00230704" w:rsidP="00B72FB0">
      <w:pPr>
        <w:jc w:val="center"/>
        <w:rPr>
          <w:rFonts w:ascii="Arial" w:hAnsi="Arial" w:cs="Arial"/>
          <w:b/>
          <w:sz w:val="28"/>
          <w:szCs w:val="28"/>
          <w:u w:val="single"/>
          <w:lang w:val="es-ES_tradnl"/>
        </w:rPr>
      </w:pPr>
      <w:r w:rsidRPr="005741FF">
        <w:rPr>
          <w:rFonts w:ascii="Arial" w:hAnsi="Arial" w:cs="Arial"/>
          <w:b/>
          <w:sz w:val="28"/>
          <w:szCs w:val="28"/>
          <w:u w:val="single"/>
          <w:lang w:val="es-ES_tradnl"/>
        </w:rPr>
        <w:t>ANEXO</w:t>
      </w:r>
      <w:r w:rsidR="007778C1">
        <w:rPr>
          <w:rFonts w:ascii="Arial" w:hAnsi="Arial" w:cs="Arial"/>
          <w:b/>
          <w:sz w:val="28"/>
          <w:szCs w:val="28"/>
          <w:u w:val="single"/>
          <w:lang w:val="es-ES_tradnl"/>
        </w:rPr>
        <w:t xml:space="preserve"> I</w:t>
      </w:r>
      <w:r w:rsidRPr="005741FF">
        <w:rPr>
          <w:rFonts w:ascii="Arial" w:hAnsi="Arial" w:cs="Arial"/>
          <w:b/>
          <w:sz w:val="28"/>
          <w:szCs w:val="28"/>
          <w:u w:val="single"/>
          <w:lang w:val="es-ES_tradnl"/>
        </w:rPr>
        <w:t>: Normativa vigente y referenciada en la Guía</w:t>
      </w:r>
    </w:p>
    <w:p w:rsidR="00230704" w:rsidRPr="005741FF" w:rsidRDefault="00230704" w:rsidP="00B72FB0">
      <w:pPr>
        <w:spacing w:after="0" w:line="336" w:lineRule="atLeast"/>
        <w:textAlignment w:val="baseline"/>
        <w:rPr>
          <w:rFonts w:ascii="Arial" w:hAnsi="Arial" w:cs="Arial"/>
          <w:color w:val="074B8C"/>
          <w:u w:val="single"/>
          <w:bdr w:val="none" w:sz="0" w:space="0" w:color="auto" w:frame="1"/>
        </w:rPr>
      </w:pPr>
      <w:r w:rsidRPr="005741FF">
        <w:rPr>
          <w:rFonts w:ascii="Arial" w:hAnsi="Arial" w:cs="Arial"/>
          <w:b/>
          <w:bCs/>
          <w:color w:val="000000"/>
          <w:u w:val="single"/>
          <w:bdr w:val="none" w:sz="0" w:space="0" w:color="auto" w:frame="1"/>
        </w:rPr>
        <w:t>Normativa Internacional:</w:t>
      </w:r>
      <w:r>
        <w:rPr>
          <w:rFonts w:ascii="Arial" w:hAnsi="Arial" w:cs="Arial"/>
          <w:b/>
          <w:bCs/>
          <w:color w:val="000000"/>
          <w:bdr w:val="none" w:sz="0" w:space="0" w:color="auto" w:frame="1"/>
        </w:rPr>
        <w:t xml:space="preserve"> </w:t>
      </w:r>
      <w:r w:rsidRPr="005741FF">
        <w:rPr>
          <w:rFonts w:ascii="Arial" w:hAnsi="Arial" w:cs="Arial"/>
          <w:b/>
          <w:bCs/>
          <w:color w:val="000000"/>
          <w:bdr w:val="none" w:sz="0" w:space="0" w:color="auto" w:frame="1"/>
        </w:rPr>
        <w:t>Convención sobre los derechos de las personas con discapacidad</w:t>
      </w:r>
      <w:hyperlink r:id="rId18" w:history="1">
        <w:r w:rsidRPr="005741FF">
          <w:rPr>
            <w:rFonts w:ascii="Arial" w:hAnsi="Arial" w:cs="Arial"/>
            <w:color w:val="074B8C"/>
            <w:u w:val="single"/>
            <w:bdr w:val="none" w:sz="0" w:space="0" w:color="auto" w:frame="1"/>
          </w:rPr>
          <w:t>Documento BOE</w:t>
        </w:r>
      </w:hyperlink>
    </w:p>
    <w:p w:rsidR="00230704" w:rsidRPr="005741FF" w:rsidRDefault="00230704" w:rsidP="00B72FB0">
      <w:pPr>
        <w:rPr>
          <w:rFonts w:ascii="Arial" w:hAnsi="Arial" w:cs="Arial"/>
          <w:b/>
        </w:rPr>
      </w:pPr>
      <w:r w:rsidRPr="005741FF">
        <w:rPr>
          <w:rFonts w:ascii="Arial" w:hAnsi="Arial" w:cs="Arial"/>
          <w:b/>
          <w:u w:val="single"/>
        </w:rPr>
        <w:t>Normativa Europea</w:t>
      </w:r>
      <w:r w:rsidRPr="005741FF">
        <w:rPr>
          <w:rFonts w:ascii="Arial" w:hAnsi="Arial" w:cs="Arial"/>
          <w:b/>
        </w:rPr>
        <w:t xml:space="preserve"> en materia de Fondos Estructurales y de Inversión Europeos</w:t>
      </w:r>
    </w:p>
    <w:p w:rsidR="00230704" w:rsidRPr="00B94D26" w:rsidRDefault="00230704" w:rsidP="00B72FB0">
      <w:pPr>
        <w:numPr>
          <w:ilvl w:val="0"/>
          <w:numId w:val="35"/>
        </w:numPr>
        <w:spacing w:before="0" w:after="0" w:line="336" w:lineRule="atLeast"/>
        <w:ind w:left="150"/>
        <w:jc w:val="left"/>
        <w:textAlignment w:val="baseline"/>
        <w:rPr>
          <w:rFonts w:ascii="Arial" w:hAnsi="Arial" w:cs="Arial"/>
          <w:color w:val="000000"/>
        </w:rPr>
      </w:pPr>
      <w:r w:rsidRPr="00B94D26">
        <w:rPr>
          <w:rFonts w:ascii="Arial" w:hAnsi="Arial" w:cs="Arial"/>
          <w:b/>
          <w:bCs/>
          <w:color w:val="000000"/>
          <w:bdr w:val="none" w:sz="0" w:space="0" w:color="auto" w:frame="1"/>
        </w:rPr>
        <w:t>Reglamento sobre disposiciones comunes</w:t>
      </w:r>
      <w:r w:rsidRPr="00B94D26">
        <w:rPr>
          <w:rFonts w:ascii="Arial" w:hAnsi="Arial" w:cs="Arial"/>
          <w:b/>
          <w:bCs/>
          <w:color w:val="000000"/>
          <w:bdr w:val="none" w:sz="0" w:space="0" w:color="auto" w:frame="1"/>
        </w:rPr>
        <w:br/>
      </w:r>
      <w:hyperlink r:id="rId19" w:tooltip="Reglamento (UE) nº 1303/2013" w:history="1">
        <w:r w:rsidRPr="00B94D26">
          <w:rPr>
            <w:rFonts w:ascii="Arial" w:hAnsi="Arial" w:cs="Arial"/>
            <w:color w:val="074B8C"/>
            <w:u w:val="single"/>
            <w:bdr w:val="none" w:sz="0" w:space="0" w:color="auto" w:frame="1"/>
          </w:rPr>
          <w:t>Reglamento (UE) nº 1303/2013</w:t>
        </w:r>
      </w:hyperlink>
      <w:r w:rsidRPr="00B94D26">
        <w:rPr>
          <w:rFonts w:ascii="Arial" w:hAnsi="Arial" w:cs="Arial"/>
          <w:color w:val="000000"/>
        </w:rPr>
        <w:t> </w:t>
      </w:r>
      <w:r w:rsidRPr="00B94D26">
        <w:rPr>
          <w:rFonts w:ascii="Arial" w:hAnsi="Arial" w:cs="Arial"/>
          <w:noProof/>
          <w:color w:val="000000"/>
        </w:rPr>
        <w:drawing>
          <wp:inline distT="0" distB="0" distL="0" distR="0">
            <wp:extent cx="151130" cy="151130"/>
            <wp:effectExtent l="0" t="0" r="1270" b="1270"/>
            <wp:docPr id="1" name="Imagen 1"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europa.eu/wel/images/doc_icons/f_pdf_16.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B94D26">
        <w:rPr>
          <w:rFonts w:ascii="Arial" w:hAnsi="Arial" w:cs="Arial"/>
          <w:color w:val="000000"/>
        </w:rPr>
        <w:br/>
        <w:t>Ver además las </w:t>
      </w:r>
      <w:hyperlink r:id="rId21" w:tooltip="declaraciones adicionales" w:history="1">
        <w:r w:rsidRPr="00B94D26">
          <w:rPr>
            <w:rFonts w:ascii="Arial" w:hAnsi="Arial" w:cs="Arial"/>
            <w:color w:val="074B8C"/>
            <w:u w:val="single"/>
            <w:bdr w:val="none" w:sz="0" w:space="0" w:color="auto" w:frame="1"/>
          </w:rPr>
          <w:t>declaraciones adicionales</w:t>
        </w:r>
      </w:hyperlink>
      <w:r w:rsidRPr="00B94D26">
        <w:rPr>
          <w:rFonts w:ascii="Arial" w:hAnsi="Arial" w:cs="Arial"/>
          <w:color w:val="000000"/>
        </w:rPr>
        <w:t> </w:t>
      </w:r>
      <w:r w:rsidRPr="00B94D26">
        <w:rPr>
          <w:rFonts w:ascii="Arial" w:hAnsi="Arial" w:cs="Arial"/>
          <w:noProof/>
          <w:color w:val="000000"/>
        </w:rPr>
        <w:drawing>
          <wp:inline distT="0" distB="0" distL="0" distR="0">
            <wp:extent cx="151130" cy="151130"/>
            <wp:effectExtent l="0" t="0" r="1270" b="1270"/>
            <wp:docPr id="2" name="Imagen 2"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c.europa.eu/wel/images/doc_icons/f_pdf_16.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B94D26">
        <w:rPr>
          <w:rFonts w:ascii="Arial" w:hAnsi="Arial" w:cs="Arial"/>
          <w:color w:val="000000"/>
        </w:rPr>
        <w:t> publicadas en el Diario Oficial.</w:t>
      </w:r>
    </w:p>
    <w:p w:rsidR="00230704" w:rsidRPr="00B94D26" w:rsidRDefault="00230704" w:rsidP="00B72FB0">
      <w:pPr>
        <w:numPr>
          <w:ilvl w:val="0"/>
          <w:numId w:val="35"/>
        </w:numPr>
        <w:spacing w:before="0" w:after="0" w:line="336" w:lineRule="atLeast"/>
        <w:ind w:left="150"/>
        <w:jc w:val="left"/>
        <w:textAlignment w:val="baseline"/>
        <w:rPr>
          <w:rFonts w:ascii="Arial" w:hAnsi="Arial" w:cs="Arial"/>
          <w:color w:val="000000"/>
        </w:rPr>
      </w:pPr>
      <w:r w:rsidRPr="00B94D26">
        <w:rPr>
          <w:rFonts w:ascii="Arial" w:hAnsi="Arial" w:cs="Arial"/>
          <w:b/>
          <w:bCs/>
          <w:color w:val="000000"/>
          <w:bdr w:val="none" w:sz="0" w:space="0" w:color="auto" w:frame="1"/>
        </w:rPr>
        <w:t>Reglamento del Fondo Social Europeo</w:t>
      </w:r>
      <w:bookmarkStart w:id="15" w:name="esfregulation"/>
      <w:bookmarkEnd w:id="15"/>
      <w:r w:rsidRPr="00B94D26">
        <w:rPr>
          <w:rFonts w:ascii="Arial" w:hAnsi="Arial" w:cs="Arial"/>
          <w:color w:val="000000"/>
        </w:rPr>
        <w:t> </w:t>
      </w:r>
      <w:r w:rsidRPr="00B94D26">
        <w:rPr>
          <w:rFonts w:ascii="Arial" w:hAnsi="Arial" w:cs="Arial"/>
          <w:color w:val="000000"/>
        </w:rPr>
        <w:br/>
      </w:r>
      <w:hyperlink r:id="rId22" w:tooltip="Reglamento (UE) nº 1304/2013" w:history="1">
        <w:r w:rsidRPr="00B94D26">
          <w:rPr>
            <w:rFonts w:ascii="Arial" w:hAnsi="Arial" w:cs="Arial"/>
            <w:color w:val="074B8C"/>
            <w:u w:val="single"/>
            <w:bdr w:val="none" w:sz="0" w:space="0" w:color="auto" w:frame="1"/>
          </w:rPr>
          <w:t>Reglamento (UE) nº 1304/2013</w:t>
        </w:r>
      </w:hyperlink>
      <w:r w:rsidRPr="00B94D26">
        <w:rPr>
          <w:rFonts w:ascii="Arial" w:hAnsi="Arial" w:cs="Arial"/>
          <w:color w:val="000000"/>
        </w:rPr>
        <w:t> </w:t>
      </w:r>
      <w:r w:rsidRPr="00B94D26">
        <w:rPr>
          <w:rFonts w:ascii="Arial" w:hAnsi="Arial" w:cs="Arial"/>
          <w:noProof/>
          <w:color w:val="000000"/>
        </w:rPr>
        <w:drawing>
          <wp:inline distT="0" distB="0" distL="0" distR="0">
            <wp:extent cx="151130" cy="151130"/>
            <wp:effectExtent l="0" t="0" r="1270" b="1270"/>
            <wp:docPr id="5" name="Imagen 5"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c.europa.eu/wel/images/doc_icons/f_pdf_16.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rsidR="00230704" w:rsidRPr="005741FF" w:rsidRDefault="00230704" w:rsidP="00B72FB0">
      <w:pPr>
        <w:numPr>
          <w:ilvl w:val="0"/>
          <w:numId w:val="35"/>
        </w:numPr>
        <w:spacing w:before="0" w:after="0" w:line="336" w:lineRule="atLeast"/>
        <w:ind w:left="150"/>
        <w:jc w:val="left"/>
        <w:textAlignment w:val="baseline"/>
        <w:rPr>
          <w:rFonts w:ascii="Arial" w:hAnsi="Arial" w:cs="Arial"/>
          <w:color w:val="000000"/>
        </w:rPr>
      </w:pPr>
      <w:r w:rsidRPr="00B94D26">
        <w:rPr>
          <w:rFonts w:ascii="Arial" w:hAnsi="Arial" w:cs="Arial"/>
          <w:b/>
          <w:bCs/>
          <w:color w:val="000000"/>
          <w:bdr w:val="none" w:sz="0" w:space="0" w:color="auto" w:frame="1"/>
        </w:rPr>
        <w:t>Reglamento del Fondo Europeo de Desarrollo Regional</w:t>
      </w:r>
      <w:bookmarkStart w:id="16" w:name="erdfregulation"/>
      <w:bookmarkEnd w:id="16"/>
      <w:r w:rsidRPr="00B94D26">
        <w:rPr>
          <w:rFonts w:ascii="Arial" w:hAnsi="Arial" w:cs="Arial"/>
          <w:color w:val="000000"/>
        </w:rPr>
        <w:t> </w:t>
      </w:r>
      <w:r w:rsidRPr="00B94D26">
        <w:rPr>
          <w:rFonts w:ascii="Arial" w:hAnsi="Arial" w:cs="Arial"/>
          <w:color w:val="000000"/>
        </w:rPr>
        <w:br/>
      </w:r>
      <w:hyperlink r:id="rId23" w:tooltip="Reglamento (UE) nº 1301/2013" w:history="1">
        <w:r w:rsidRPr="00B94D26">
          <w:rPr>
            <w:rFonts w:ascii="Arial" w:hAnsi="Arial" w:cs="Arial"/>
            <w:color w:val="074B8C"/>
            <w:u w:val="single"/>
            <w:bdr w:val="none" w:sz="0" w:space="0" w:color="auto" w:frame="1"/>
          </w:rPr>
          <w:t>Reglamento (UE) nº 1301/2013</w:t>
        </w:r>
      </w:hyperlink>
      <w:r w:rsidRPr="00B94D26">
        <w:rPr>
          <w:rFonts w:ascii="Arial" w:hAnsi="Arial" w:cs="Arial"/>
          <w:color w:val="000000"/>
        </w:rPr>
        <w:t> </w:t>
      </w:r>
      <w:r w:rsidRPr="00B94D26">
        <w:rPr>
          <w:rFonts w:ascii="Arial" w:hAnsi="Arial" w:cs="Arial"/>
          <w:noProof/>
          <w:color w:val="000000"/>
        </w:rPr>
        <w:drawing>
          <wp:inline distT="0" distB="0" distL="0" distR="0">
            <wp:extent cx="151130" cy="151130"/>
            <wp:effectExtent l="0" t="0" r="1270" b="1270"/>
            <wp:docPr id="7" name="Imagen 7"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c.europa.eu/wel/images/doc_icons/f_pdf_16.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B94D26">
        <w:rPr>
          <w:rFonts w:ascii="Arial" w:hAnsi="Arial" w:cs="Arial"/>
          <w:color w:val="000000"/>
        </w:rPr>
        <w:br/>
        <w:t>Ver además las </w:t>
      </w:r>
      <w:hyperlink r:id="rId24" w:tooltip="declaraciones adicionales" w:history="1">
        <w:r w:rsidRPr="00B94D26">
          <w:rPr>
            <w:rFonts w:ascii="Arial" w:hAnsi="Arial" w:cs="Arial"/>
            <w:color w:val="074B8C"/>
            <w:u w:val="single"/>
            <w:bdr w:val="none" w:sz="0" w:space="0" w:color="auto" w:frame="1"/>
          </w:rPr>
          <w:t>declaraciones adicionales</w:t>
        </w:r>
      </w:hyperlink>
      <w:r w:rsidRPr="00B94D26">
        <w:rPr>
          <w:rFonts w:ascii="Arial" w:hAnsi="Arial" w:cs="Arial"/>
          <w:color w:val="000000"/>
        </w:rPr>
        <w:t> </w:t>
      </w:r>
      <w:r w:rsidRPr="00B94D26">
        <w:rPr>
          <w:rFonts w:ascii="Arial" w:hAnsi="Arial" w:cs="Arial"/>
          <w:noProof/>
          <w:color w:val="000000"/>
        </w:rPr>
        <w:drawing>
          <wp:inline distT="0" distB="0" distL="0" distR="0">
            <wp:extent cx="151130" cy="151130"/>
            <wp:effectExtent l="0" t="0" r="1270" b="1270"/>
            <wp:docPr id="8" name="Imagen 8"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europa.eu/wel/images/doc_icons/f_pdf_16.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B94D26">
        <w:rPr>
          <w:rFonts w:ascii="Arial" w:hAnsi="Arial" w:cs="Arial"/>
          <w:color w:val="000000"/>
        </w:rPr>
        <w:t> publicadas en el Diario Oficial.</w:t>
      </w:r>
    </w:p>
    <w:p w:rsidR="00230704" w:rsidRPr="00B94D26" w:rsidRDefault="00230704" w:rsidP="00B72FB0">
      <w:pPr>
        <w:numPr>
          <w:ilvl w:val="0"/>
          <w:numId w:val="35"/>
        </w:numPr>
        <w:spacing w:before="0" w:after="0" w:line="336" w:lineRule="atLeast"/>
        <w:ind w:left="150"/>
        <w:jc w:val="left"/>
        <w:textAlignment w:val="baseline"/>
        <w:rPr>
          <w:rFonts w:ascii="Arial" w:hAnsi="Arial" w:cs="Arial"/>
          <w:color w:val="000000"/>
        </w:rPr>
      </w:pPr>
      <w:r>
        <w:rPr>
          <w:rFonts w:ascii="Arial" w:hAnsi="Arial" w:cs="Arial"/>
          <w:b/>
          <w:color w:val="000000"/>
        </w:rPr>
        <w:t xml:space="preserve">El </w:t>
      </w:r>
      <w:r w:rsidRPr="00B94D26">
        <w:rPr>
          <w:rFonts w:ascii="Arial" w:hAnsi="Arial" w:cs="Arial"/>
          <w:b/>
          <w:color w:val="000000"/>
        </w:rPr>
        <w:t>Acuerdo de Asociación</w:t>
      </w:r>
      <w:r>
        <w:rPr>
          <w:rFonts w:ascii="Arial" w:hAnsi="Arial" w:cs="Arial"/>
          <w:b/>
          <w:color w:val="000000"/>
        </w:rPr>
        <w:t xml:space="preserve"> de España</w:t>
      </w:r>
      <w:r w:rsidRPr="00B94D26">
        <w:rPr>
          <w:rFonts w:ascii="Arial" w:hAnsi="Arial" w:cs="Arial"/>
          <w:b/>
          <w:color w:val="000000"/>
        </w:rPr>
        <w:t xml:space="preserve">: </w:t>
      </w:r>
    </w:p>
    <w:p w:rsidR="00230704" w:rsidRPr="00230704" w:rsidRDefault="00230704" w:rsidP="00B72FB0">
      <w:pPr>
        <w:spacing w:after="0" w:line="216" w:lineRule="atLeast"/>
        <w:ind w:left="150"/>
        <w:textAlignment w:val="baseline"/>
        <w:rPr>
          <w:rFonts w:ascii="Arial" w:hAnsi="Arial" w:cs="Arial"/>
          <w:color w:val="000000"/>
        </w:rPr>
      </w:pPr>
      <w:r w:rsidRPr="00B94D26">
        <w:rPr>
          <w:rFonts w:ascii="Arial" w:hAnsi="Arial" w:cs="Arial"/>
          <w:color w:val="000000"/>
        </w:rPr>
        <w:t>En un </w:t>
      </w:r>
      <w:hyperlink r:id="rId25" w:tooltip="&#10;            acuerdo de asociación&#10;          " w:history="1">
        <w:r w:rsidRPr="00B94D26">
          <w:rPr>
            <w:rFonts w:ascii="Arial" w:hAnsi="Arial" w:cs="Arial"/>
            <w:color w:val="551A8B"/>
            <w:u w:val="single"/>
            <w:bdr w:val="none" w:sz="0" w:space="0" w:color="auto" w:frame="1"/>
          </w:rPr>
          <w:t>acuerdo de asociación</w:t>
        </w:r>
      </w:hyperlink>
      <w:r w:rsidRPr="00B94D26">
        <w:rPr>
          <w:rFonts w:ascii="Arial" w:hAnsi="Arial" w:cs="Arial"/>
          <w:color w:val="000000"/>
        </w:rPr>
        <w:t> entre la Comisión Europea y un Estado miembro se establecen los planes de las autoridades nacionales para utilizar los fondos estructurales y de inversión europeos durante el periodo 2014-2020. También se exponen las metas estratégicas y las prioridades de inversión de ese Estado, a la luz de los objetivos generales de la estrategia </w:t>
      </w:r>
      <w:hyperlink r:id="rId26" w:tooltip="Europa 2020" w:history="1">
        <w:r w:rsidRPr="00B94D26">
          <w:rPr>
            <w:rFonts w:ascii="Arial" w:hAnsi="Arial" w:cs="Arial"/>
            <w:color w:val="551A8B"/>
            <w:u w:val="single"/>
            <w:bdr w:val="none" w:sz="0" w:space="0" w:color="auto" w:frame="1"/>
          </w:rPr>
          <w:t>Europa 2020</w:t>
        </w:r>
      </w:hyperlink>
      <w:r w:rsidRPr="00B94D26">
        <w:rPr>
          <w:rFonts w:ascii="Arial" w:hAnsi="Arial" w:cs="Arial"/>
          <w:color w:val="000000"/>
        </w:rPr>
        <w:t>para un crecimiento inteligente, sostenible e integrador.</w:t>
      </w:r>
    </w:p>
    <w:p w:rsidR="00230704" w:rsidRPr="00B03B0E" w:rsidRDefault="00230704" w:rsidP="00B72FB0">
      <w:pPr>
        <w:rPr>
          <w:rFonts w:ascii="Arial" w:hAnsi="Arial" w:cs="Arial"/>
        </w:rPr>
      </w:pPr>
      <w:r>
        <w:rPr>
          <w:rFonts w:ascii="Arial" w:hAnsi="Arial" w:cs="Arial"/>
          <w:b/>
        </w:rPr>
        <w:t xml:space="preserve">Nota: </w:t>
      </w:r>
      <w:r w:rsidRPr="00B03B0E">
        <w:rPr>
          <w:rFonts w:ascii="Arial" w:hAnsi="Arial" w:cs="Arial"/>
          <w:u w:val="single"/>
        </w:rPr>
        <w:t>Otras disposiciones relacionadas con la materia</w:t>
      </w:r>
      <w:r w:rsidRPr="00B03B0E">
        <w:rPr>
          <w:rFonts w:ascii="Arial" w:hAnsi="Arial" w:cs="Arial"/>
        </w:rPr>
        <w:t xml:space="preserve"> que pueden servir de fundamentacion jurídica, no mencionadas expresamente en la Guía, pero a tener en cuenta como soporte legal para que sean tenidos en cuenta los intereses de las personas con discapacidad: </w:t>
      </w:r>
    </w:p>
    <w:p w:rsidR="00230704" w:rsidRPr="00230704" w:rsidRDefault="00230704" w:rsidP="00B72FB0">
      <w:pPr>
        <w:numPr>
          <w:ilvl w:val="0"/>
          <w:numId w:val="35"/>
        </w:numPr>
        <w:spacing w:before="0" w:after="0" w:line="336" w:lineRule="atLeast"/>
        <w:ind w:left="150"/>
        <w:jc w:val="left"/>
        <w:textAlignment w:val="baseline"/>
        <w:rPr>
          <w:rFonts w:ascii="Arial" w:hAnsi="Arial" w:cs="Arial"/>
          <w:b/>
          <w:bCs/>
          <w:color w:val="000000"/>
          <w:bdr w:val="none" w:sz="0" w:space="0" w:color="auto" w:frame="1"/>
        </w:rPr>
      </w:pPr>
      <w:r w:rsidRPr="00B03B0E">
        <w:rPr>
          <w:rFonts w:ascii="Arial" w:hAnsi="Arial" w:cs="Arial"/>
          <w:b/>
          <w:bCs/>
          <w:color w:val="000000"/>
          <w:bdr w:val="none" w:sz="0" w:space="0" w:color="auto" w:frame="1"/>
        </w:rPr>
        <w:t xml:space="preserve">Estrategia Europea sobre discapacidad 2010 – 2020 </w:t>
      </w:r>
      <w:hyperlink r:id="rId27" w:history="1">
        <w:r w:rsidRPr="00230704">
          <w:rPr>
            <w:rFonts w:ascii="Arial" w:hAnsi="Arial" w:cs="Arial"/>
            <w:color w:val="074B8C"/>
            <w:u w:val="single"/>
            <w:bdr w:val="none" w:sz="0" w:space="0" w:color="auto" w:frame="1"/>
          </w:rPr>
          <w:t>Documento</w:t>
        </w:r>
      </w:hyperlink>
      <w:r w:rsidRPr="00230704">
        <w:rPr>
          <w:rFonts w:ascii="Arial" w:hAnsi="Arial" w:cs="Arial"/>
          <w:color w:val="074B8C"/>
          <w:u w:val="single"/>
          <w:bdr w:val="none" w:sz="0" w:space="0" w:color="auto" w:frame="1"/>
        </w:rPr>
        <w:t xml:space="preserve"> </w:t>
      </w:r>
    </w:p>
    <w:p w:rsidR="00230704" w:rsidRPr="00230704" w:rsidRDefault="00230704" w:rsidP="00B72FB0">
      <w:pPr>
        <w:numPr>
          <w:ilvl w:val="0"/>
          <w:numId w:val="35"/>
        </w:numPr>
        <w:spacing w:before="0" w:after="0" w:line="336" w:lineRule="atLeast"/>
        <w:ind w:left="150"/>
        <w:jc w:val="left"/>
        <w:textAlignment w:val="baseline"/>
        <w:rPr>
          <w:rFonts w:ascii="Arial" w:hAnsi="Arial" w:cs="Arial"/>
          <w:b/>
          <w:bCs/>
          <w:color w:val="000000"/>
          <w:bdr w:val="none" w:sz="0" w:space="0" w:color="auto" w:frame="1"/>
        </w:rPr>
      </w:pPr>
      <w:r w:rsidRPr="00B03B0E">
        <w:rPr>
          <w:rFonts w:ascii="Arial" w:hAnsi="Arial" w:cs="Arial"/>
          <w:b/>
          <w:bCs/>
          <w:color w:val="000000"/>
          <w:bdr w:val="none" w:sz="0" w:space="0" w:color="auto" w:frame="1"/>
        </w:rPr>
        <w:t xml:space="preserve">Estrategia Española sobre la discapacidad </w:t>
      </w:r>
      <w:hyperlink r:id="rId28" w:history="1">
        <w:r w:rsidRPr="00230704">
          <w:rPr>
            <w:rFonts w:ascii="Arial" w:hAnsi="Arial" w:cs="Arial"/>
            <w:color w:val="074B8C"/>
            <w:u w:val="single"/>
            <w:bdr w:val="none" w:sz="0" w:space="0" w:color="auto" w:frame="1"/>
          </w:rPr>
          <w:t>Documento</w:t>
        </w:r>
      </w:hyperlink>
      <w:r w:rsidRPr="00230704">
        <w:rPr>
          <w:rFonts w:ascii="Arial" w:hAnsi="Arial" w:cs="Arial"/>
          <w:color w:val="074B8C"/>
          <w:u w:val="single"/>
          <w:bdr w:val="none" w:sz="0" w:space="0" w:color="auto" w:frame="1"/>
        </w:rPr>
        <w:t xml:space="preserve"> </w:t>
      </w:r>
    </w:p>
    <w:p w:rsidR="004A5E85" w:rsidRDefault="00230704" w:rsidP="00B72FB0">
      <w:pPr>
        <w:numPr>
          <w:ilvl w:val="0"/>
          <w:numId w:val="35"/>
        </w:numPr>
        <w:spacing w:before="0" w:after="0" w:line="336" w:lineRule="atLeast"/>
        <w:ind w:left="150"/>
        <w:jc w:val="left"/>
        <w:textAlignment w:val="baseline"/>
        <w:rPr>
          <w:rFonts w:ascii="Arial" w:hAnsi="Arial" w:cs="Arial"/>
          <w:b/>
          <w:bCs/>
          <w:color w:val="000000"/>
          <w:bdr w:val="none" w:sz="0" w:space="0" w:color="auto" w:frame="1"/>
        </w:rPr>
      </w:pPr>
      <w:r w:rsidRPr="00B03B0E">
        <w:rPr>
          <w:rFonts w:ascii="Arial" w:hAnsi="Arial" w:cs="Arial"/>
          <w:b/>
          <w:bCs/>
          <w:color w:val="000000"/>
          <w:bdr w:val="none" w:sz="0" w:space="0" w:color="auto" w:frame="1"/>
        </w:rPr>
        <w:t>Plan de Acción sobre la Estrategia Española 2014-2020</w:t>
      </w:r>
      <w:r w:rsidR="008A49F9">
        <w:rPr>
          <w:rFonts w:ascii="Arial" w:hAnsi="Arial" w:cs="Arial"/>
          <w:b/>
          <w:bCs/>
          <w:color w:val="000000"/>
          <w:bdr w:val="none" w:sz="0" w:space="0" w:color="auto" w:frame="1"/>
        </w:rPr>
        <w:t xml:space="preserve"> </w:t>
      </w:r>
      <w:hyperlink r:id="rId29" w:history="1">
        <w:r w:rsidRPr="00230704">
          <w:rPr>
            <w:rFonts w:ascii="Arial" w:hAnsi="Arial" w:cs="Arial"/>
            <w:color w:val="074B8C"/>
            <w:u w:val="single"/>
            <w:bdr w:val="none" w:sz="0" w:space="0" w:color="auto" w:frame="1"/>
          </w:rPr>
          <w:t>Documento</w:t>
        </w:r>
      </w:hyperlink>
    </w:p>
    <w:p w:rsidR="00230704" w:rsidRPr="00316FEB" w:rsidRDefault="00FF5A1D" w:rsidP="00B72FB0">
      <w:pPr>
        <w:numPr>
          <w:ilvl w:val="0"/>
          <w:numId w:val="35"/>
        </w:numPr>
        <w:spacing w:before="0" w:after="0" w:line="336" w:lineRule="atLeast"/>
        <w:ind w:left="150"/>
        <w:jc w:val="left"/>
        <w:textAlignment w:val="baseline"/>
        <w:rPr>
          <w:rFonts w:ascii="Arial" w:hAnsi="Arial" w:cs="Arial"/>
          <w:color w:val="074B8C"/>
          <w:u w:val="single"/>
          <w:bdr w:val="none" w:sz="0" w:space="0" w:color="auto" w:frame="1"/>
        </w:rPr>
      </w:pPr>
      <w:r w:rsidRPr="00FF5A1D">
        <w:rPr>
          <w:rFonts w:ascii="Arial" w:hAnsi="Arial" w:cs="Arial"/>
          <w:b/>
          <w:bCs/>
          <w:color w:val="000000"/>
          <w:bdr w:val="none" w:sz="0" w:space="0" w:color="auto" w:frame="1"/>
        </w:rPr>
        <w:t>Ley 26/2011, de 1 de agosto, de adaptaci</w:t>
      </w:r>
      <w:r w:rsidRPr="00FF5A1D">
        <w:rPr>
          <w:rFonts w:ascii="Arial" w:hAnsi="Arial" w:cs="Arial" w:hint="eastAsia"/>
          <w:b/>
          <w:bCs/>
          <w:color w:val="000000"/>
          <w:bdr w:val="none" w:sz="0" w:space="0" w:color="auto" w:frame="1"/>
        </w:rPr>
        <w:t>ó</w:t>
      </w:r>
      <w:r w:rsidRPr="00FF5A1D">
        <w:rPr>
          <w:rFonts w:ascii="Arial" w:hAnsi="Arial" w:cs="Arial"/>
          <w:b/>
          <w:bCs/>
          <w:color w:val="000000"/>
          <w:bdr w:val="none" w:sz="0" w:space="0" w:color="auto" w:frame="1"/>
        </w:rPr>
        <w:t>n normativa a la Convenci</w:t>
      </w:r>
      <w:r w:rsidRPr="00FF5A1D">
        <w:rPr>
          <w:rFonts w:ascii="Arial" w:hAnsi="Arial" w:cs="Arial" w:hint="eastAsia"/>
          <w:b/>
          <w:bCs/>
          <w:color w:val="000000"/>
          <w:bdr w:val="none" w:sz="0" w:space="0" w:color="auto" w:frame="1"/>
        </w:rPr>
        <w:t>ó</w:t>
      </w:r>
      <w:r w:rsidRPr="00FF5A1D">
        <w:rPr>
          <w:rFonts w:ascii="Arial" w:hAnsi="Arial" w:cs="Arial"/>
          <w:b/>
          <w:bCs/>
          <w:color w:val="000000"/>
          <w:bdr w:val="none" w:sz="0" w:space="0" w:color="auto" w:frame="1"/>
        </w:rPr>
        <w:t>n Internacional sobre los Derechos de las Personas con Discapacidad</w:t>
      </w:r>
      <w:r w:rsidR="009C3BE4">
        <w:rPr>
          <w:rFonts w:ascii="Arial" w:hAnsi="Arial" w:cs="Arial"/>
          <w:b/>
          <w:bCs/>
          <w:color w:val="000000"/>
          <w:bdr w:val="none" w:sz="0" w:space="0" w:color="auto" w:frame="1"/>
        </w:rPr>
        <w:t xml:space="preserve"> </w:t>
      </w:r>
      <w:hyperlink r:id="rId30" w:history="1">
        <w:r w:rsidRPr="00316FEB">
          <w:rPr>
            <w:rFonts w:ascii="Arial" w:hAnsi="Arial" w:cs="Arial"/>
            <w:color w:val="074B8C"/>
            <w:u w:val="single"/>
            <w:bdr w:val="none" w:sz="0" w:space="0" w:color="auto" w:frame="1"/>
          </w:rPr>
          <w:t>Documento</w:t>
        </w:r>
      </w:hyperlink>
    </w:p>
    <w:p w:rsidR="00230704" w:rsidRPr="007778C1" w:rsidRDefault="00230704" w:rsidP="00B72FB0">
      <w:pPr>
        <w:numPr>
          <w:ilvl w:val="0"/>
          <w:numId w:val="35"/>
        </w:numPr>
        <w:spacing w:before="0" w:after="0" w:line="336" w:lineRule="atLeast"/>
        <w:ind w:left="150"/>
        <w:jc w:val="left"/>
        <w:textAlignment w:val="baseline"/>
        <w:rPr>
          <w:rFonts w:ascii="Arial" w:hAnsi="Arial" w:cs="Arial"/>
          <w:b/>
          <w:bCs/>
          <w:color w:val="000000"/>
          <w:bdr w:val="none" w:sz="0" w:space="0" w:color="auto" w:frame="1"/>
        </w:rPr>
      </w:pPr>
      <w:r w:rsidRPr="00B03B0E">
        <w:rPr>
          <w:rFonts w:ascii="Arial" w:hAnsi="Arial" w:cs="Arial"/>
          <w:b/>
          <w:bCs/>
          <w:color w:val="000000"/>
          <w:bdr w:val="none" w:sz="0" w:space="0" w:color="auto" w:frame="1"/>
        </w:rPr>
        <w:t xml:space="preserve">Real Decreto Legislativo 1/2013, de 29 de noviembre, por el que se apreuba el Texto Refundido de la Ley General de derechos de las personas con discapacidad y de su inclusión social </w:t>
      </w:r>
      <w:hyperlink r:id="rId31" w:history="1">
        <w:r w:rsidRPr="00230704">
          <w:rPr>
            <w:rFonts w:ascii="Arial" w:hAnsi="Arial" w:cs="Arial"/>
            <w:color w:val="074B8C"/>
            <w:u w:val="single"/>
            <w:bdr w:val="none" w:sz="0" w:space="0" w:color="auto" w:frame="1"/>
          </w:rPr>
          <w:t>Documento BOE</w:t>
        </w:r>
      </w:hyperlink>
      <w:r w:rsidR="008A49F9">
        <w:rPr>
          <w:rFonts w:ascii="Arial" w:hAnsi="Arial" w:cs="Arial"/>
          <w:color w:val="074B8C"/>
          <w:u w:val="single"/>
          <w:bdr w:val="none" w:sz="0" w:space="0" w:color="auto" w:frame="1"/>
        </w:rPr>
        <w:t xml:space="preserve"> </w:t>
      </w:r>
    </w:p>
    <w:p w:rsidR="007778C1" w:rsidRDefault="007778C1" w:rsidP="00B72FB0">
      <w:pPr>
        <w:spacing w:before="0" w:after="0" w:line="336" w:lineRule="atLeast"/>
        <w:jc w:val="left"/>
        <w:textAlignment w:val="baseline"/>
        <w:rPr>
          <w:rFonts w:ascii="Arial" w:hAnsi="Arial" w:cs="Arial"/>
          <w:b/>
          <w:bCs/>
          <w:color w:val="000000"/>
          <w:bdr w:val="none" w:sz="0" w:space="0" w:color="auto" w:frame="1"/>
        </w:rPr>
      </w:pPr>
    </w:p>
    <w:p w:rsidR="008A49F9" w:rsidRDefault="008A49F9">
      <w:pPr>
        <w:spacing w:before="0" w:after="0"/>
        <w:jc w:val="left"/>
        <w:rPr>
          <w:rFonts w:ascii="Arial" w:hAnsi="Arial" w:cs="Arial"/>
          <w:b/>
          <w:sz w:val="28"/>
          <w:szCs w:val="28"/>
          <w:u w:val="single"/>
          <w:lang w:val="es-ES_tradnl"/>
        </w:rPr>
      </w:pPr>
      <w:r>
        <w:rPr>
          <w:rFonts w:ascii="Arial" w:hAnsi="Arial" w:cs="Arial"/>
          <w:b/>
          <w:sz w:val="28"/>
          <w:szCs w:val="28"/>
          <w:u w:val="single"/>
          <w:lang w:val="es-ES_tradnl"/>
        </w:rPr>
        <w:br w:type="page"/>
      </w:r>
    </w:p>
    <w:p w:rsidR="007778C1" w:rsidRPr="007778C1" w:rsidRDefault="007778C1" w:rsidP="00B72FB0">
      <w:pPr>
        <w:jc w:val="center"/>
        <w:rPr>
          <w:rFonts w:ascii="Arial" w:hAnsi="Arial" w:cs="Arial"/>
          <w:b/>
          <w:sz w:val="28"/>
          <w:szCs w:val="28"/>
          <w:u w:val="single"/>
          <w:lang w:val="es-ES_tradnl"/>
        </w:rPr>
      </w:pPr>
      <w:r w:rsidRPr="007778C1">
        <w:rPr>
          <w:rFonts w:ascii="Arial" w:hAnsi="Arial" w:cs="Arial"/>
          <w:b/>
          <w:sz w:val="28"/>
          <w:szCs w:val="28"/>
          <w:u w:val="single"/>
          <w:lang w:val="es-ES_tradnl"/>
        </w:rPr>
        <w:t xml:space="preserve">ANEXO II: </w:t>
      </w:r>
      <w:r>
        <w:rPr>
          <w:rFonts w:ascii="Arial" w:hAnsi="Arial" w:cs="Arial"/>
          <w:b/>
          <w:sz w:val="28"/>
          <w:szCs w:val="28"/>
          <w:u w:val="single"/>
          <w:lang w:val="es-ES_tradnl"/>
        </w:rPr>
        <w:t xml:space="preserve">FORMULARIO </w:t>
      </w:r>
    </w:p>
    <w:p w:rsidR="007778C1" w:rsidRDefault="007778C1" w:rsidP="00B72FB0">
      <w:pPr>
        <w:jc w:val="center"/>
        <w:rPr>
          <w:rFonts w:ascii="Arial" w:hAnsi="Arial" w:cs="Arial"/>
          <w:lang w:val="es-ES_tradnl"/>
        </w:rPr>
      </w:pPr>
      <w:r>
        <w:rPr>
          <w:rFonts w:ascii="Arial" w:hAnsi="Arial" w:cs="Arial"/>
          <w:lang w:val="es-ES_tradnl"/>
        </w:rPr>
        <w:t>AL ÓRGANO ADMINISTRATIVO QUE CORRESPONDA</w:t>
      </w:r>
    </w:p>
    <w:p w:rsidR="007778C1" w:rsidRDefault="007778C1" w:rsidP="00B72FB0">
      <w:pPr>
        <w:rPr>
          <w:rFonts w:ascii="Arial" w:hAnsi="Arial" w:cs="Arial"/>
          <w:lang w:val="es-ES_tradnl"/>
        </w:rPr>
      </w:pPr>
      <w:r>
        <w:rPr>
          <w:rFonts w:ascii="Arial" w:hAnsi="Arial" w:cs="Arial"/>
          <w:lang w:val="es-ES_tradnl"/>
        </w:rPr>
        <w:t xml:space="preserve">D. /Dª .............................., mayor de edad, con CIF ..., en nombre y representación de (CERMI autonómico datos e indicar a quien representan en la región), ante este organismo comparece y como mejor proceda en derecho </w:t>
      </w:r>
      <w:r>
        <w:rPr>
          <w:rFonts w:ascii="Arial" w:hAnsi="Arial" w:cs="Arial"/>
          <w:b/>
          <w:lang w:val="es-ES_tradnl"/>
        </w:rPr>
        <w:t>DICE:</w:t>
      </w:r>
    </w:p>
    <w:p w:rsidR="007778C1" w:rsidRDefault="007778C1" w:rsidP="00B72FB0">
      <w:pPr>
        <w:rPr>
          <w:rFonts w:ascii="Arial" w:hAnsi="Arial" w:cs="Arial"/>
          <w:lang w:val="es-ES_tradnl"/>
        </w:rPr>
      </w:pPr>
      <w:r>
        <w:rPr>
          <w:rFonts w:ascii="Arial" w:hAnsi="Arial" w:cs="Arial"/>
          <w:b/>
          <w:lang w:val="es-ES_tradnl"/>
        </w:rPr>
        <w:t xml:space="preserve">Que </w:t>
      </w:r>
      <w:r>
        <w:rPr>
          <w:rFonts w:ascii="Arial" w:hAnsi="Arial" w:cs="Arial"/>
          <w:lang w:val="es-ES_tradnl"/>
        </w:rPr>
        <w:t>actualmente esta marcha el proceso de programación de los Fondos Estructurales y de Inversión Europeos 2014 – 2020, en concreto están pendientes de aprobación los Programas Operativos Regionales del Fondo Social Europeo.</w:t>
      </w:r>
    </w:p>
    <w:p w:rsidR="007778C1" w:rsidRDefault="007778C1" w:rsidP="00B72FB0">
      <w:pPr>
        <w:rPr>
          <w:rFonts w:ascii="Arial" w:hAnsi="Arial" w:cs="Arial"/>
          <w:lang w:val="es-ES_tradnl"/>
        </w:rPr>
      </w:pPr>
      <w:r>
        <w:rPr>
          <w:rFonts w:ascii="Arial" w:hAnsi="Arial" w:cs="Arial"/>
          <w:i/>
          <w:lang w:val="es-ES_tradnl"/>
        </w:rPr>
        <w:t>“</w:t>
      </w:r>
      <w:r w:rsidRPr="00556D0D">
        <w:rPr>
          <w:rFonts w:ascii="Arial" w:hAnsi="Arial" w:cs="Arial"/>
          <w:i/>
          <w:lang w:val="es-ES_tradnl"/>
        </w:rPr>
        <w:t>Desde el punto de vista de la gobernanza, y con el fin de velar por la transversalización del objetivo horizontal de accesibilidad y la incorporación de estas orientaciones y objetivos a las actuaciones desarrolladas en el marco de la programación de los Fondos EIE, se prevé la participación de la entidad más representativa de las personas con discapacidad y sus familias en la fase de ejecución de los programas afines</w:t>
      </w:r>
      <w:r>
        <w:rPr>
          <w:rFonts w:ascii="Arial" w:hAnsi="Arial" w:cs="Arial"/>
          <w:i/>
          <w:lang w:val="es-ES_tradnl"/>
        </w:rPr>
        <w:t>”</w:t>
      </w:r>
      <w:r>
        <w:rPr>
          <w:rFonts w:ascii="Arial" w:hAnsi="Arial" w:cs="Arial"/>
          <w:lang w:val="es-ES_tradnl"/>
        </w:rPr>
        <w:t>. (Acuerdo de Asociación de España 2014-2020)</w:t>
      </w:r>
    </w:p>
    <w:p w:rsidR="007778C1" w:rsidRDefault="007778C1" w:rsidP="00B72FB0">
      <w:pPr>
        <w:rPr>
          <w:rFonts w:ascii="Arial" w:hAnsi="Arial" w:cs="Arial"/>
          <w:lang w:val="es-ES_tradnl"/>
        </w:rPr>
      </w:pPr>
      <w:r>
        <w:rPr>
          <w:rFonts w:ascii="Arial" w:hAnsi="Arial" w:cs="Arial"/>
          <w:lang w:val="es-ES_tradnl"/>
        </w:rPr>
        <w:t>Teniendo en cuenta lo anteriormente expuesto y según lo dispuesto en el Artículo 5 del Reglamento de la Unión Europea de Disposiciones Comunes (1303/2013 de 17 de diciembre de 2013), el CERMI ----- solicita formar parte como miembro del Comité de Seguimiento que se constituirá una vez sea adoptado por la Comisión Europea el Programa Operativo regional de ----- , en calidad de representantes de los intereses de las personas con discapacidad en la región.</w:t>
      </w:r>
    </w:p>
    <w:p w:rsidR="007778C1" w:rsidRDefault="007778C1" w:rsidP="00B72FB0">
      <w:pPr>
        <w:rPr>
          <w:rFonts w:ascii="Arial" w:hAnsi="Arial" w:cs="Arial"/>
          <w:lang w:val="es-ES_tradnl"/>
        </w:rPr>
      </w:pPr>
    </w:p>
    <w:p w:rsidR="007778C1" w:rsidRDefault="007778C1" w:rsidP="00B72FB0">
      <w:pPr>
        <w:rPr>
          <w:rFonts w:ascii="Arial" w:hAnsi="Arial" w:cs="Arial"/>
          <w:lang w:val="es-ES_tradnl"/>
        </w:rPr>
      </w:pPr>
      <w:r>
        <w:rPr>
          <w:rFonts w:ascii="Arial" w:hAnsi="Arial" w:cs="Arial"/>
          <w:lang w:val="es-ES_tradnl"/>
        </w:rPr>
        <w:t xml:space="preserve">Por todo ello, </w:t>
      </w:r>
      <w:r>
        <w:rPr>
          <w:rFonts w:ascii="Arial" w:hAnsi="Arial" w:cs="Arial"/>
          <w:b/>
          <w:lang w:val="es-ES_tradnl"/>
        </w:rPr>
        <w:t>SOLICITA a (órgano administrativo)</w:t>
      </w:r>
      <w:r>
        <w:rPr>
          <w:rFonts w:ascii="Arial" w:hAnsi="Arial" w:cs="Arial"/>
          <w:lang w:val="es-ES_tradnl"/>
        </w:rPr>
        <w:t xml:space="preserve"> que el CERMI</w:t>
      </w:r>
      <w:r w:rsidR="008A49F9">
        <w:rPr>
          <w:rFonts w:ascii="Arial" w:hAnsi="Arial" w:cs="Arial"/>
          <w:lang w:val="es-ES_tradnl"/>
        </w:rPr>
        <w:t xml:space="preserve"> </w:t>
      </w:r>
      <w:r>
        <w:rPr>
          <w:rFonts w:ascii="Arial" w:hAnsi="Arial" w:cs="Arial"/>
          <w:lang w:val="es-ES_tradnl"/>
        </w:rPr>
        <w:t>(autonómico) forme parte como miembro consultivo del Comité de Seguimiento del Programa Operativo regional (indicar cuál) del Fondo Social Europeo encargado de hacer seguimiento a la ejecución del Programa durante su periodo de vigencia.</w:t>
      </w:r>
    </w:p>
    <w:p w:rsidR="007778C1" w:rsidRDefault="007778C1" w:rsidP="00B72FB0">
      <w:pPr>
        <w:rPr>
          <w:rFonts w:ascii="Arial" w:hAnsi="Arial" w:cs="Arial"/>
          <w:lang w:val="es-ES_tradnl"/>
        </w:rPr>
      </w:pPr>
    </w:p>
    <w:p w:rsidR="007778C1" w:rsidRPr="00B00DDD" w:rsidRDefault="007778C1" w:rsidP="00B72FB0">
      <w:pPr>
        <w:rPr>
          <w:rFonts w:ascii="Arial" w:hAnsi="Arial" w:cs="Arial"/>
          <w:lang w:val="es-ES_tradnl"/>
        </w:rPr>
      </w:pPr>
      <w:r>
        <w:rPr>
          <w:rFonts w:ascii="Arial" w:hAnsi="Arial" w:cs="Arial"/>
          <w:lang w:val="es-ES_tradnl"/>
        </w:rPr>
        <w:t>Lugar, f</w:t>
      </w:r>
      <w:r w:rsidRPr="00B00DDD">
        <w:rPr>
          <w:rFonts w:ascii="Arial" w:hAnsi="Arial" w:cs="Arial"/>
          <w:lang w:val="es-ES_tradnl"/>
        </w:rPr>
        <w:t>echa y firma</w:t>
      </w:r>
    </w:p>
    <w:p w:rsidR="007778C1" w:rsidRPr="00230704" w:rsidRDefault="007778C1" w:rsidP="00B72FB0">
      <w:pPr>
        <w:spacing w:before="0" w:after="0" w:line="336" w:lineRule="atLeast"/>
        <w:jc w:val="left"/>
        <w:textAlignment w:val="baseline"/>
        <w:rPr>
          <w:rFonts w:ascii="Arial" w:hAnsi="Arial" w:cs="Arial"/>
          <w:b/>
          <w:bCs/>
          <w:color w:val="000000"/>
          <w:bdr w:val="none" w:sz="0" w:space="0" w:color="auto" w:frame="1"/>
        </w:rPr>
      </w:pPr>
    </w:p>
    <w:p w:rsidR="004A5E85" w:rsidRDefault="00A6718F" w:rsidP="00B72FB0">
      <w:pPr>
        <w:spacing w:line="360" w:lineRule="auto"/>
        <w:rPr>
          <w:rFonts w:ascii="Arial" w:eastAsia="Calibri" w:hAnsi="Arial"/>
          <w:szCs w:val="22"/>
          <w:lang w:eastAsia="en-US"/>
        </w:rPr>
      </w:pPr>
      <w:r>
        <w:rPr>
          <w:rFonts w:ascii="Arial" w:eastAsia="Calibri" w:hAnsi="Arial"/>
          <w:szCs w:val="22"/>
          <w:lang w:eastAsia="en-US"/>
        </w:rPr>
        <w:t>-Fin del documento-</w:t>
      </w:r>
    </w:p>
    <w:sectPr w:rsidR="004A5E85" w:rsidSect="00655BF9">
      <w:pgSz w:w="11907" w:h="16840" w:code="9"/>
      <w:pgMar w:top="1418" w:right="2409" w:bottom="1418" w:left="1418" w:header="561" w:footer="437" w:gutter="28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B45" w:rsidRDefault="002F2B45">
      <w:pPr>
        <w:spacing w:before="0" w:after="0"/>
      </w:pPr>
      <w:r>
        <w:separator/>
      </w:r>
    </w:p>
  </w:endnote>
  <w:endnote w:type="continuationSeparator" w:id="0">
    <w:p w:rsidR="002F2B45" w:rsidRDefault="002F2B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iso">
    <w:charset w:val="00"/>
    <w:family w:val="auto"/>
    <w:pitch w:val="variable"/>
    <w:sig w:usb0="800000AF" w:usb1="0000000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271174"/>
      <w:docPartObj>
        <w:docPartGallery w:val="Page Numbers (Bottom of Page)"/>
        <w:docPartUnique/>
      </w:docPartObj>
    </w:sdtPr>
    <w:sdtEndPr/>
    <w:sdtContent>
      <w:p w:rsidR="003B7A57" w:rsidRDefault="00A9575B" w:rsidP="00E26459">
        <w:pPr>
          <w:pStyle w:val="Piedepgina"/>
          <w:pBdr>
            <w:top w:val="none" w:sz="0" w:space="0" w:color="auto"/>
          </w:pBdr>
          <w:jc w:val="right"/>
        </w:pPr>
        <w:r>
          <w:fldChar w:fldCharType="begin"/>
        </w:r>
        <w:r w:rsidR="003B7A57">
          <w:instrText>PAGE   \* MERGEFORMAT</w:instrText>
        </w:r>
        <w:r>
          <w:fldChar w:fldCharType="separate"/>
        </w:r>
        <w:r w:rsidR="00C92966">
          <w:rPr>
            <w:noProof/>
          </w:rPr>
          <w:t>5</w:t>
        </w:r>
        <w:r>
          <w:fldChar w:fldCharType="end"/>
        </w:r>
      </w:p>
    </w:sdtContent>
  </w:sdt>
  <w:p w:rsidR="006D1135" w:rsidRPr="000B1728" w:rsidRDefault="006D1135" w:rsidP="000B1728">
    <w:pPr>
      <w:pStyle w:val="Piedepgina"/>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59" w:rsidRDefault="00E26459" w:rsidP="008A49F9">
    <w:pPr>
      <w:pStyle w:val="Piedepgina"/>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B45" w:rsidRDefault="002F2B45">
      <w:pPr>
        <w:spacing w:before="0" w:after="0"/>
      </w:pPr>
      <w:r>
        <w:separator/>
      </w:r>
    </w:p>
  </w:footnote>
  <w:footnote w:type="continuationSeparator" w:id="0">
    <w:p w:rsidR="002F2B45" w:rsidRDefault="002F2B45">
      <w:pPr>
        <w:spacing w:before="0" w:after="0"/>
      </w:pPr>
      <w:r>
        <w:continuationSeparator/>
      </w:r>
    </w:p>
  </w:footnote>
  <w:footnote w:id="1">
    <w:p w:rsidR="006D1135" w:rsidRPr="003D3B08" w:rsidRDefault="006D1135">
      <w:pPr>
        <w:pStyle w:val="Textonotapie"/>
        <w:rPr>
          <w:rFonts w:ascii="Arial" w:hAnsi="Arial" w:cs="Arial"/>
        </w:rPr>
      </w:pPr>
      <w:r w:rsidRPr="003D3B08">
        <w:rPr>
          <w:rStyle w:val="Refdenotaalpie"/>
          <w:rFonts w:ascii="Arial" w:hAnsi="Arial" w:cs="Arial"/>
        </w:rPr>
        <w:footnoteRef/>
      </w:r>
      <w:r w:rsidRPr="003D3B08">
        <w:rPr>
          <w:rFonts w:ascii="Arial" w:hAnsi="Arial" w:cs="Arial"/>
        </w:rPr>
        <w:t xml:space="preserve"> </w:t>
      </w:r>
      <w:hyperlink r:id="rId1" w:history="1">
        <w:r w:rsidRPr="003D3B08">
          <w:rPr>
            <w:rStyle w:val="Hipervnculo"/>
            <w:rFonts w:ascii="Arial" w:hAnsi="Arial" w:cs="Arial"/>
            <w:iCs/>
          </w:rPr>
          <w:t>www.boe.es/doue/</w:t>
        </w:r>
        <w:r w:rsidRPr="003D3B08">
          <w:rPr>
            <w:rStyle w:val="Hipervnculo"/>
            <w:rFonts w:ascii="Arial" w:hAnsi="Arial" w:cs="Arial"/>
            <w:bCs/>
            <w:iCs/>
          </w:rPr>
          <w:t>2013</w:t>
        </w:r>
        <w:r w:rsidRPr="003D3B08">
          <w:rPr>
            <w:rStyle w:val="Hipervnculo"/>
            <w:rFonts w:ascii="Arial" w:hAnsi="Arial" w:cs="Arial"/>
            <w:iCs/>
          </w:rPr>
          <w:t>/347/L00320-00469.pdf</w:t>
        </w:r>
      </w:hyperlink>
      <w:r w:rsidRPr="003D3B08">
        <w:rPr>
          <w:rFonts w:ascii="Arial" w:hAnsi="Arial" w:cs="Arial"/>
          <w:iCs/>
        </w:rPr>
        <w:t xml:space="preserve"> </w:t>
      </w:r>
    </w:p>
  </w:footnote>
  <w:footnote w:id="2">
    <w:p w:rsidR="00620157" w:rsidRPr="007901EC" w:rsidRDefault="00620157" w:rsidP="00620157">
      <w:pPr>
        <w:pStyle w:val="Textonotapie"/>
        <w:rPr>
          <w:rFonts w:ascii="Arial" w:hAnsi="Arial" w:cs="Arial"/>
        </w:rPr>
      </w:pPr>
      <w:r w:rsidRPr="007901EC">
        <w:rPr>
          <w:rStyle w:val="Refdenotaalpie"/>
          <w:rFonts w:ascii="Arial" w:hAnsi="Arial" w:cs="Arial"/>
        </w:rPr>
        <w:footnoteRef/>
      </w:r>
      <w:r w:rsidRPr="007901EC">
        <w:rPr>
          <w:rFonts w:ascii="Arial" w:hAnsi="Arial" w:cs="Arial"/>
        </w:rPr>
        <w:t xml:space="preserve"> En el Anexo II se facilita un formulario de solicitud para formar parte del Comité de Seguimiento como miebro consultivo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35" w:rsidRDefault="006D1135" w:rsidP="00065087">
    <w:pPr>
      <w:pStyle w:val="Encabezado"/>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35" w:rsidRDefault="006D1135" w:rsidP="00815874">
    <w:pPr>
      <w:pStyle w:val="Encabezado"/>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87B"/>
    <w:multiLevelType w:val="hybridMultilevel"/>
    <w:tmpl w:val="01267BB4"/>
    <w:lvl w:ilvl="0" w:tplc="0C0A0003">
      <w:start w:val="1"/>
      <w:numFmt w:val="bullet"/>
      <w:lvlText w:val="o"/>
      <w:lvlJc w:val="left"/>
      <w:pPr>
        <w:ind w:left="717" w:hanging="360"/>
      </w:pPr>
      <w:rPr>
        <w:rFonts w:ascii="Courier New" w:hAnsi="Courier New"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
    <w:nsid w:val="1CAF1C9F"/>
    <w:multiLevelType w:val="hybridMultilevel"/>
    <w:tmpl w:val="CBAE694C"/>
    <w:lvl w:ilvl="0" w:tplc="188E826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DF1F68"/>
    <w:multiLevelType w:val="hybridMultilevel"/>
    <w:tmpl w:val="3E9A0686"/>
    <w:lvl w:ilvl="0" w:tplc="F6DE35F2">
      <w:start w:val="1"/>
      <w:numFmt w:val="bullet"/>
      <w:lvlText w:val="◙"/>
      <w:lvlJc w:val="left"/>
      <w:pPr>
        <w:ind w:left="360" w:hanging="360"/>
      </w:pPr>
      <w:rPr>
        <w:rFonts w:ascii="Arial Narrow" w:hAnsi="Arial Narrow" w:hint="default"/>
        <w:color w:val="6798C1"/>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DA80D828">
      <w:numFmt w:val="bullet"/>
      <w:lvlText w:val="-"/>
      <w:lvlJc w:val="left"/>
      <w:pPr>
        <w:tabs>
          <w:tab w:val="num" w:pos="3600"/>
        </w:tabs>
        <w:ind w:left="3600" w:hanging="360"/>
      </w:pPr>
      <w:rPr>
        <w:rFonts w:ascii="Arial Narrow" w:eastAsia="Times New Roman" w:hAnsi="Arial Narrow" w:cs="Times New Roman"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4243B70"/>
    <w:multiLevelType w:val="singleLevel"/>
    <w:tmpl w:val="CD6C5072"/>
    <w:lvl w:ilvl="0">
      <w:start w:val="1"/>
      <w:numFmt w:val="lowerLetter"/>
      <w:lvlText w:val="%1)"/>
      <w:lvlJc w:val="left"/>
      <w:pPr>
        <w:tabs>
          <w:tab w:val="num" w:pos="851"/>
        </w:tabs>
        <w:ind w:left="851" w:hanging="494"/>
      </w:pPr>
      <w:rPr>
        <w:rFonts w:hint="default"/>
      </w:rPr>
    </w:lvl>
  </w:abstractNum>
  <w:abstractNum w:abstractNumId="4">
    <w:nsid w:val="28A3297A"/>
    <w:multiLevelType w:val="hybridMultilevel"/>
    <w:tmpl w:val="ED9868D0"/>
    <w:lvl w:ilvl="0" w:tplc="18BC6D56">
      <w:numFmt w:val="bullet"/>
      <w:lvlText w:val="-"/>
      <w:lvlJc w:val="left"/>
      <w:pPr>
        <w:ind w:left="1004" w:hanging="360"/>
      </w:pPr>
      <w:rPr>
        <w:rFonts w:ascii="Arial Narrow" w:eastAsia="Times New Roman" w:hAnsi="Arial Narrow"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29F12C3E"/>
    <w:multiLevelType w:val="hybridMultilevel"/>
    <w:tmpl w:val="ECECE29C"/>
    <w:lvl w:ilvl="0" w:tplc="CE427690">
      <w:numFmt w:val="bullet"/>
      <w:lvlText w:val="-"/>
      <w:lvlJc w:val="left"/>
      <w:pPr>
        <w:ind w:left="720" w:hanging="360"/>
      </w:pPr>
      <w:rPr>
        <w:rFonts w:ascii="Miso" w:eastAsia="Times New Roman" w:hAnsi="Miso" w:cs="Times New Roman"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B40D09"/>
    <w:multiLevelType w:val="hybridMultilevel"/>
    <w:tmpl w:val="8450833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F324C51"/>
    <w:multiLevelType w:val="multilevel"/>
    <w:tmpl w:val="0C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3BB003FD"/>
    <w:multiLevelType w:val="hybridMultilevel"/>
    <w:tmpl w:val="FB98ACB8"/>
    <w:lvl w:ilvl="0" w:tplc="18BC6D56">
      <w:numFmt w:val="bullet"/>
      <w:lvlText w:val="-"/>
      <w:lvlJc w:val="left"/>
      <w:pPr>
        <w:ind w:left="1069" w:hanging="360"/>
      </w:pPr>
      <w:rPr>
        <w:rFonts w:ascii="Arial Narrow" w:eastAsia="Times New Roman" w:hAnsi="Arial Narrow" w:cs="Times New Roman"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nsid w:val="3E503FF7"/>
    <w:multiLevelType w:val="hybridMultilevel"/>
    <w:tmpl w:val="45E6DCF8"/>
    <w:lvl w:ilvl="0" w:tplc="188E826C">
      <w:numFmt w:val="bullet"/>
      <w:lvlText w:val="-"/>
      <w:lvlJc w:val="left"/>
      <w:pPr>
        <w:ind w:left="1723" w:hanging="360"/>
      </w:pPr>
      <w:rPr>
        <w:rFonts w:ascii="Arial" w:eastAsia="Calibri" w:hAnsi="Arial" w:cs="Arial" w:hint="default"/>
      </w:rPr>
    </w:lvl>
    <w:lvl w:ilvl="1" w:tplc="0C0A0003" w:tentative="1">
      <w:start w:val="1"/>
      <w:numFmt w:val="bullet"/>
      <w:lvlText w:val="o"/>
      <w:lvlJc w:val="left"/>
      <w:pPr>
        <w:ind w:left="2443" w:hanging="360"/>
      </w:pPr>
      <w:rPr>
        <w:rFonts w:ascii="Courier New" w:hAnsi="Courier New" w:cs="Courier New" w:hint="default"/>
      </w:rPr>
    </w:lvl>
    <w:lvl w:ilvl="2" w:tplc="0C0A0005" w:tentative="1">
      <w:start w:val="1"/>
      <w:numFmt w:val="bullet"/>
      <w:lvlText w:val=""/>
      <w:lvlJc w:val="left"/>
      <w:pPr>
        <w:ind w:left="3163" w:hanging="360"/>
      </w:pPr>
      <w:rPr>
        <w:rFonts w:ascii="Wingdings" w:hAnsi="Wingdings" w:hint="default"/>
      </w:rPr>
    </w:lvl>
    <w:lvl w:ilvl="3" w:tplc="0C0A0001" w:tentative="1">
      <w:start w:val="1"/>
      <w:numFmt w:val="bullet"/>
      <w:lvlText w:val=""/>
      <w:lvlJc w:val="left"/>
      <w:pPr>
        <w:ind w:left="3883" w:hanging="360"/>
      </w:pPr>
      <w:rPr>
        <w:rFonts w:ascii="Symbol" w:hAnsi="Symbol" w:hint="default"/>
      </w:rPr>
    </w:lvl>
    <w:lvl w:ilvl="4" w:tplc="0C0A0003" w:tentative="1">
      <w:start w:val="1"/>
      <w:numFmt w:val="bullet"/>
      <w:lvlText w:val="o"/>
      <w:lvlJc w:val="left"/>
      <w:pPr>
        <w:ind w:left="4603" w:hanging="360"/>
      </w:pPr>
      <w:rPr>
        <w:rFonts w:ascii="Courier New" w:hAnsi="Courier New" w:cs="Courier New" w:hint="default"/>
      </w:rPr>
    </w:lvl>
    <w:lvl w:ilvl="5" w:tplc="0C0A0005" w:tentative="1">
      <w:start w:val="1"/>
      <w:numFmt w:val="bullet"/>
      <w:lvlText w:val=""/>
      <w:lvlJc w:val="left"/>
      <w:pPr>
        <w:ind w:left="5323" w:hanging="360"/>
      </w:pPr>
      <w:rPr>
        <w:rFonts w:ascii="Wingdings" w:hAnsi="Wingdings" w:hint="default"/>
      </w:rPr>
    </w:lvl>
    <w:lvl w:ilvl="6" w:tplc="0C0A0001" w:tentative="1">
      <w:start w:val="1"/>
      <w:numFmt w:val="bullet"/>
      <w:lvlText w:val=""/>
      <w:lvlJc w:val="left"/>
      <w:pPr>
        <w:ind w:left="6043" w:hanging="360"/>
      </w:pPr>
      <w:rPr>
        <w:rFonts w:ascii="Symbol" w:hAnsi="Symbol" w:hint="default"/>
      </w:rPr>
    </w:lvl>
    <w:lvl w:ilvl="7" w:tplc="0C0A0003" w:tentative="1">
      <w:start w:val="1"/>
      <w:numFmt w:val="bullet"/>
      <w:lvlText w:val="o"/>
      <w:lvlJc w:val="left"/>
      <w:pPr>
        <w:ind w:left="6763" w:hanging="360"/>
      </w:pPr>
      <w:rPr>
        <w:rFonts w:ascii="Courier New" w:hAnsi="Courier New" w:cs="Courier New" w:hint="default"/>
      </w:rPr>
    </w:lvl>
    <w:lvl w:ilvl="8" w:tplc="0C0A0005" w:tentative="1">
      <w:start w:val="1"/>
      <w:numFmt w:val="bullet"/>
      <w:lvlText w:val=""/>
      <w:lvlJc w:val="left"/>
      <w:pPr>
        <w:ind w:left="7483" w:hanging="360"/>
      </w:pPr>
      <w:rPr>
        <w:rFonts w:ascii="Wingdings" w:hAnsi="Wingdings" w:hint="default"/>
      </w:rPr>
    </w:lvl>
  </w:abstractNum>
  <w:abstractNum w:abstractNumId="10">
    <w:nsid w:val="411748F2"/>
    <w:multiLevelType w:val="hybridMultilevel"/>
    <w:tmpl w:val="CDE2D834"/>
    <w:lvl w:ilvl="0" w:tplc="896ECE74">
      <w:start w:val="1"/>
      <w:numFmt w:val="bullet"/>
      <w:pStyle w:val="Bolos"/>
      <w:lvlText w:val="◙"/>
      <w:lvlJc w:val="left"/>
      <w:pPr>
        <w:ind w:left="717" w:hanging="360"/>
      </w:pPr>
      <w:rPr>
        <w:rFonts w:ascii="Arial Narrow" w:hAnsi="Arial Narrow" w:hint="default"/>
        <w:color w:val="5CACE2"/>
      </w:rPr>
    </w:lvl>
    <w:lvl w:ilvl="1" w:tplc="7158A66E">
      <w:start w:val="1"/>
      <w:numFmt w:val="bullet"/>
      <w:lvlText w:val="o"/>
      <w:lvlJc w:val="left"/>
      <w:pPr>
        <w:tabs>
          <w:tab w:val="num" w:pos="1440"/>
        </w:tabs>
        <w:ind w:left="1440" w:hanging="360"/>
      </w:pPr>
      <w:rPr>
        <w:rFonts w:ascii="Courier New" w:hAnsi="Courier New" w:hint="default"/>
        <w:color w:val="6798C1"/>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17D16DA"/>
    <w:multiLevelType w:val="hybridMultilevel"/>
    <w:tmpl w:val="98881170"/>
    <w:lvl w:ilvl="0" w:tplc="17403E10">
      <w:start w:val="1"/>
      <w:numFmt w:val="lowerLetter"/>
      <w:lvlText w:val="%1."/>
      <w:lvlJc w:val="left"/>
      <w:pPr>
        <w:ind w:left="1495" w:hanging="360"/>
      </w:pPr>
      <w:rPr>
        <w:rFonts w:hint="default"/>
      </w:rPr>
    </w:lvl>
    <w:lvl w:ilvl="1" w:tplc="0C0A0019" w:tentative="1">
      <w:start w:val="1"/>
      <w:numFmt w:val="lowerLetter"/>
      <w:lvlText w:val="%2."/>
      <w:lvlJc w:val="left"/>
      <w:pPr>
        <w:ind w:left="1495" w:hanging="360"/>
      </w:pPr>
    </w:lvl>
    <w:lvl w:ilvl="2" w:tplc="0C0A001B" w:tentative="1">
      <w:start w:val="1"/>
      <w:numFmt w:val="lowerRoman"/>
      <w:lvlText w:val="%3."/>
      <w:lvlJc w:val="right"/>
      <w:pPr>
        <w:ind w:left="2215" w:hanging="180"/>
      </w:pPr>
    </w:lvl>
    <w:lvl w:ilvl="3" w:tplc="0C0A000F" w:tentative="1">
      <w:start w:val="1"/>
      <w:numFmt w:val="decimal"/>
      <w:lvlText w:val="%4."/>
      <w:lvlJc w:val="left"/>
      <w:pPr>
        <w:ind w:left="2935" w:hanging="360"/>
      </w:pPr>
    </w:lvl>
    <w:lvl w:ilvl="4" w:tplc="0C0A0019" w:tentative="1">
      <w:start w:val="1"/>
      <w:numFmt w:val="lowerLetter"/>
      <w:lvlText w:val="%5."/>
      <w:lvlJc w:val="left"/>
      <w:pPr>
        <w:ind w:left="3655" w:hanging="360"/>
      </w:pPr>
    </w:lvl>
    <w:lvl w:ilvl="5" w:tplc="0C0A001B" w:tentative="1">
      <w:start w:val="1"/>
      <w:numFmt w:val="lowerRoman"/>
      <w:lvlText w:val="%6."/>
      <w:lvlJc w:val="right"/>
      <w:pPr>
        <w:ind w:left="4375" w:hanging="180"/>
      </w:pPr>
    </w:lvl>
    <w:lvl w:ilvl="6" w:tplc="0C0A000F" w:tentative="1">
      <w:start w:val="1"/>
      <w:numFmt w:val="decimal"/>
      <w:lvlText w:val="%7."/>
      <w:lvlJc w:val="left"/>
      <w:pPr>
        <w:ind w:left="5095" w:hanging="360"/>
      </w:pPr>
    </w:lvl>
    <w:lvl w:ilvl="7" w:tplc="0C0A0019" w:tentative="1">
      <w:start w:val="1"/>
      <w:numFmt w:val="lowerLetter"/>
      <w:lvlText w:val="%8."/>
      <w:lvlJc w:val="left"/>
      <w:pPr>
        <w:ind w:left="5815" w:hanging="360"/>
      </w:pPr>
    </w:lvl>
    <w:lvl w:ilvl="8" w:tplc="0C0A001B" w:tentative="1">
      <w:start w:val="1"/>
      <w:numFmt w:val="lowerRoman"/>
      <w:lvlText w:val="%9."/>
      <w:lvlJc w:val="right"/>
      <w:pPr>
        <w:ind w:left="6535" w:hanging="180"/>
      </w:pPr>
    </w:lvl>
  </w:abstractNum>
  <w:abstractNum w:abstractNumId="12">
    <w:nsid w:val="45BC704F"/>
    <w:multiLevelType w:val="multilevel"/>
    <w:tmpl w:val="9EC8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BA6FFF"/>
    <w:multiLevelType w:val="hybridMultilevel"/>
    <w:tmpl w:val="310C197C"/>
    <w:lvl w:ilvl="0" w:tplc="04907AF6">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DC71B4E"/>
    <w:multiLevelType w:val="hybridMultilevel"/>
    <w:tmpl w:val="67F451BC"/>
    <w:lvl w:ilvl="0" w:tplc="DA80D828">
      <w:numFmt w:val="bullet"/>
      <w:lvlText w:val="-"/>
      <w:lvlJc w:val="left"/>
      <w:pPr>
        <w:ind w:left="1778" w:hanging="360"/>
      </w:pPr>
      <w:rPr>
        <w:rFonts w:ascii="Arial Narrow" w:eastAsia="Times New Roman" w:hAnsi="Arial Narrow" w:cs="Times New Roman" w:hint="default"/>
      </w:rPr>
    </w:lvl>
    <w:lvl w:ilvl="1" w:tplc="0C0A0003">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5">
    <w:nsid w:val="4EA5431B"/>
    <w:multiLevelType w:val="hybridMultilevel"/>
    <w:tmpl w:val="4EB26410"/>
    <w:lvl w:ilvl="0" w:tplc="04907AF6">
      <w:start w:val="1"/>
      <w:numFmt w:val="decimal"/>
      <w:lvlText w:val="%1)"/>
      <w:lvlJc w:val="left"/>
      <w:pPr>
        <w:ind w:left="1065" w:hanging="705"/>
      </w:pPr>
      <w:rPr>
        <w:rFonts w:hint="default"/>
      </w:rPr>
    </w:lvl>
    <w:lvl w:ilvl="1" w:tplc="17403E10">
      <w:start w:val="1"/>
      <w:numFmt w:val="lowerLetter"/>
      <w:lvlText w:val="%2."/>
      <w:lvlJc w:val="left"/>
      <w:pPr>
        <w:ind w:left="1495"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5851C59"/>
    <w:multiLevelType w:val="hybridMultilevel"/>
    <w:tmpl w:val="4C4EB118"/>
    <w:lvl w:ilvl="0" w:tplc="5B66CAA6">
      <w:start w:val="1"/>
      <w:numFmt w:val="bullet"/>
      <w:lvlText w:val="•"/>
      <w:lvlJc w:val="left"/>
      <w:pPr>
        <w:tabs>
          <w:tab w:val="num" w:pos="720"/>
        </w:tabs>
        <w:ind w:left="720" w:hanging="360"/>
      </w:pPr>
      <w:rPr>
        <w:rFonts w:ascii="Times New Roman" w:hAnsi="Times New Roman" w:hint="default"/>
      </w:rPr>
    </w:lvl>
    <w:lvl w:ilvl="1" w:tplc="C35C4D0C">
      <w:start w:val="709"/>
      <w:numFmt w:val="bullet"/>
      <w:lvlText w:val="•"/>
      <w:lvlJc w:val="left"/>
      <w:pPr>
        <w:tabs>
          <w:tab w:val="num" w:pos="1440"/>
        </w:tabs>
        <w:ind w:left="1440" w:hanging="360"/>
      </w:pPr>
      <w:rPr>
        <w:rFonts w:ascii="Times New Roman" w:hAnsi="Times New Roman" w:hint="default"/>
      </w:rPr>
    </w:lvl>
    <w:lvl w:ilvl="2" w:tplc="180A9F36" w:tentative="1">
      <w:start w:val="1"/>
      <w:numFmt w:val="bullet"/>
      <w:lvlText w:val="•"/>
      <w:lvlJc w:val="left"/>
      <w:pPr>
        <w:tabs>
          <w:tab w:val="num" w:pos="2160"/>
        </w:tabs>
        <w:ind w:left="2160" w:hanging="360"/>
      </w:pPr>
      <w:rPr>
        <w:rFonts w:ascii="Times New Roman" w:hAnsi="Times New Roman" w:hint="default"/>
      </w:rPr>
    </w:lvl>
    <w:lvl w:ilvl="3" w:tplc="6B8A2A24" w:tentative="1">
      <w:start w:val="1"/>
      <w:numFmt w:val="bullet"/>
      <w:lvlText w:val="•"/>
      <w:lvlJc w:val="left"/>
      <w:pPr>
        <w:tabs>
          <w:tab w:val="num" w:pos="2880"/>
        </w:tabs>
        <w:ind w:left="2880" w:hanging="360"/>
      </w:pPr>
      <w:rPr>
        <w:rFonts w:ascii="Times New Roman" w:hAnsi="Times New Roman" w:hint="default"/>
      </w:rPr>
    </w:lvl>
    <w:lvl w:ilvl="4" w:tplc="14FA2E16" w:tentative="1">
      <w:start w:val="1"/>
      <w:numFmt w:val="bullet"/>
      <w:lvlText w:val="•"/>
      <w:lvlJc w:val="left"/>
      <w:pPr>
        <w:tabs>
          <w:tab w:val="num" w:pos="3600"/>
        </w:tabs>
        <w:ind w:left="3600" w:hanging="360"/>
      </w:pPr>
      <w:rPr>
        <w:rFonts w:ascii="Times New Roman" w:hAnsi="Times New Roman" w:hint="default"/>
      </w:rPr>
    </w:lvl>
    <w:lvl w:ilvl="5" w:tplc="88E660AA" w:tentative="1">
      <w:start w:val="1"/>
      <w:numFmt w:val="bullet"/>
      <w:lvlText w:val="•"/>
      <w:lvlJc w:val="left"/>
      <w:pPr>
        <w:tabs>
          <w:tab w:val="num" w:pos="4320"/>
        </w:tabs>
        <w:ind w:left="4320" w:hanging="360"/>
      </w:pPr>
      <w:rPr>
        <w:rFonts w:ascii="Times New Roman" w:hAnsi="Times New Roman" w:hint="default"/>
      </w:rPr>
    </w:lvl>
    <w:lvl w:ilvl="6" w:tplc="BC6C0424" w:tentative="1">
      <w:start w:val="1"/>
      <w:numFmt w:val="bullet"/>
      <w:lvlText w:val="•"/>
      <w:lvlJc w:val="left"/>
      <w:pPr>
        <w:tabs>
          <w:tab w:val="num" w:pos="5040"/>
        </w:tabs>
        <w:ind w:left="5040" w:hanging="360"/>
      </w:pPr>
      <w:rPr>
        <w:rFonts w:ascii="Times New Roman" w:hAnsi="Times New Roman" w:hint="default"/>
      </w:rPr>
    </w:lvl>
    <w:lvl w:ilvl="7" w:tplc="12DA7B16" w:tentative="1">
      <w:start w:val="1"/>
      <w:numFmt w:val="bullet"/>
      <w:lvlText w:val="•"/>
      <w:lvlJc w:val="left"/>
      <w:pPr>
        <w:tabs>
          <w:tab w:val="num" w:pos="5760"/>
        </w:tabs>
        <w:ind w:left="5760" w:hanging="360"/>
      </w:pPr>
      <w:rPr>
        <w:rFonts w:ascii="Times New Roman" w:hAnsi="Times New Roman" w:hint="default"/>
      </w:rPr>
    </w:lvl>
    <w:lvl w:ilvl="8" w:tplc="8A74F06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5F725C5"/>
    <w:multiLevelType w:val="singleLevel"/>
    <w:tmpl w:val="C0A87BC6"/>
    <w:lvl w:ilvl="0">
      <w:start w:val="1"/>
      <w:numFmt w:val="decimal"/>
      <w:pStyle w:val="Listanumrica"/>
      <w:lvlText w:val="%1)"/>
      <w:lvlJc w:val="left"/>
      <w:pPr>
        <w:tabs>
          <w:tab w:val="num" w:pos="786"/>
        </w:tabs>
        <w:ind w:left="786" w:hanging="360"/>
      </w:pPr>
    </w:lvl>
  </w:abstractNum>
  <w:abstractNum w:abstractNumId="18">
    <w:nsid w:val="5BE35B9B"/>
    <w:multiLevelType w:val="hybridMultilevel"/>
    <w:tmpl w:val="CCAC563E"/>
    <w:lvl w:ilvl="0" w:tplc="EE5CED44">
      <w:start w:val="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CF3317A"/>
    <w:multiLevelType w:val="hybridMultilevel"/>
    <w:tmpl w:val="A2F292A6"/>
    <w:lvl w:ilvl="0" w:tplc="04907AF6">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5FD58EF"/>
    <w:multiLevelType w:val="multilevel"/>
    <w:tmpl w:val="104C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98332C"/>
    <w:multiLevelType w:val="hybridMultilevel"/>
    <w:tmpl w:val="8272F8B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7893101"/>
    <w:multiLevelType w:val="singleLevel"/>
    <w:tmpl w:val="7158A66E"/>
    <w:lvl w:ilvl="0">
      <w:start w:val="1"/>
      <w:numFmt w:val="bullet"/>
      <w:lvlText w:val="o"/>
      <w:lvlJc w:val="left"/>
      <w:pPr>
        <w:ind w:left="720" w:hanging="360"/>
      </w:pPr>
      <w:rPr>
        <w:rFonts w:ascii="Courier New" w:hAnsi="Courier New" w:hint="default"/>
        <w:color w:val="6798C1"/>
      </w:rPr>
    </w:lvl>
  </w:abstractNum>
  <w:abstractNum w:abstractNumId="23">
    <w:nsid w:val="67EC0620"/>
    <w:multiLevelType w:val="hybridMultilevel"/>
    <w:tmpl w:val="A2F292A6"/>
    <w:lvl w:ilvl="0" w:tplc="04907AF6">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8E02598"/>
    <w:multiLevelType w:val="hybridMultilevel"/>
    <w:tmpl w:val="E9C4AD2E"/>
    <w:lvl w:ilvl="0" w:tplc="0C0A0013">
      <w:start w:val="1"/>
      <w:numFmt w:val="upperRoman"/>
      <w:lvlText w:val="%1."/>
      <w:lvlJc w:val="right"/>
      <w:pPr>
        <w:ind w:left="1440" w:hanging="360"/>
      </w:pPr>
      <w:rPr>
        <w:rFonts w:hint="default"/>
        <w:color w:val="6798C1"/>
      </w:rPr>
    </w:lvl>
    <w:lvl w:ilvl="1" w:tplc="0C0A0003">
      <w:start w:val="1"/>
      <w:numFmt w:val="bullet"/>
      <w:lvlText w:val="o"/>
      <w:lvlJc w:val="left"/>
      <w:pPr>
        <w:tabs>
          <w:tab w:val="num" w:pos="2520"/>
        </w:tabs>
        <w:ind w:left="2520" w:hanging="360"/>
      </w:pPr>
      <w:rPr>
        <w:rFonts w:ascii="Courier New" w:hAnsi="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start w:val="1"/>
      <w:numFmt w:val="bullet"/>
      <w:lvlText w:val=""/>
      <w:lvlJc w:val="left"/>
      <w:pPr>
        <w:tabs>
          <w:tab w:val="num" w:pos="3960"/>
        </w:tabs>
        <w:ind w:left="3960" w:hanging="360"/>
      </w:pPr>
      <w:rPr>
        <w:rFonts w:ascii="Symbol" w:hAnsi="Symbol" w:hint="default"/>
        <w:color w:val="000080"/>
      </w:rPr>
    </w:lvl>
    <w:lvl w:ilvl="4" w:tplc="0C0A0003">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5">
    <w:nsid w:val="71256422"/>
    <w:multiLevelType w:val="hybridMultilevel"/>
    <w:tmpl w:val="FAD43D92"/>
    <w:lvl w:ilvl="0" w:tplc="5BC89EC6">
      <w:start w:val="1"/>
      <w:numFmt w:val="decimal"/>
      <w:lvlText w:val="%1."/>
      <w:lvlJc w:val="left"/>
      <w:pPr>
        <w:ind w:left="1004" w:hanging="360"/>
      </w:pPr>
      <w:rPr>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nsid w:val="744A013D"/>
    <w:multiLevelType w:val="multilevel"/>
    <w:tmpl w:val="E042C172"/>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rPr>
        <w:sz w:val="26"/>
        <w:szCs w:val="20"/>
      </w:rPr>
    </w:lvl>
    <w:lvl w:ilvl="3">
      <w:start w:val="1"/>
      <w:numFmt w:val="lowerLetter"/>
      <w:pStyle w:val="Ttulo4"/>
      <w:lvlText w:val="%4)"/>
      <w:lvlJc w:val="left"/>
      <w:pPr>
        <w:tabs>
          <w:tab w:val="num" w:pos="720"/>
        </w:tabs>
        <w:ind w:left="720" w:hanging="720"/>
      </w:pPr>
    </w:lvl>
    <w:lvl w:ilvl="4">
      <w:start w:val="1"/>
      <w:numFmt w:val="decimal"/>
      <w:pStyle w:val="Ttulo5"/>
      <w:lvlText w:val="%4.%5)"/>
      <w:lvlJc w:val="left"/>
      <w:pPr>
        <w:tabs>
          <w:tab w:val="num" w:pos="720"/>
        </w:tabs>
        <w:ind w:left="720" w:hanging="720"/>
      </w:pPr>
    </w:lvl>
    <w:lvl w:ilvl="5">
      <w:start w:val="1"/>
      <w:numFmt w:val="decimal"/>
      <w:pStyle w:val="Ttulo6"/>
      <w:lvlText w:val="%4.%5.%6)"/>
      <w:lvlJc w:val="left"/>
      <w:pPr>
        <w:tabs>
          <w:tab w:val="num" w:pos="720"/>
        </w:tabs>
        <w:ind w:left="720" w:hanging="720"/>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77F12D84"/>
    <w:multiLevelType w:val="hybridMultilevel"/>
    <w:tmpl w:val="4634B05A"/>
    <w:lvl w:ilvl="0" w:tplc="577460F6">
      <w:start w:val="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0"/>
  </w:num>
  <w:num w:numId="4">
    <w:abstractNumId w:val="26"/>
  </w:num>
  <w:num w:numId="5">
    <w:abstractNumId w:val="8"/>
  </w:num>
  <w:num w:numId="6">
    <w:abstractNumId w:val="24"/>
  </w:num>
  <w:num w:numId="7">
    <w:abstractNumId w:val="7"/>
  </w:num>
  <w:num w:numId="8">
    <w:abstractNumId w:val="2"/>
  </w:num>
  <w:num w:numId="9">
    <w:abstractNumId w:val="14"/>
  </w:num>
  <w:num w:numId="10">
    <w:abstractNumId w:val="23"/>
  </w:num>
  <w:num w:numId="11">
    <w:abstractNumId w:val="15"/>
  </w:num>
  <w:num w:numId="12">
    <w:abstractNumId w:val="13"/>
  </w:num>
  <w:num w:numId="13">
    <w:abstractNumId w:val="10"/>
  </w:num>
  <w:num w:numId="14">
    <w:abstractNumId w:val="5"/>
  </w:num>
  <w:num w:numId="15">
    <w:abstractNumId w:val="18"/>
  </w:num>
  <w:num w:numId="16">
    <w:abstractNumId w:val="19"/>
  </w:num>
  <w:num w:numId="17">
    <w:abstractNumId w:val="11"/>
  </w:num>
  <w:num w:numId="18">
    <w:abstractNumId w:val="3"/>
  </w:num>
  <w:num w:numId="19">
    <w:abstractNumId w:val="27"/>
  </w:num>
  <w:num w:numId="20">
    <w:abstractNumId w:val="26"/>
  </w:num>
  <w:num w:numId="21">
    <w:abstractNumId w:val="10"/>
  </w:num>
  <w:num w:numId="22">
    <w:abstractNumId w:val="0"/>
  </w:num>
  <w:num w:numId="23">
    <w:abstractNumId w:val="10"/>
  </w:num>
  <w:num w:numId="24">
    <w:abstractNumId w:val="22"/>
  </w:num>
  <w:num w:numId="25">
    <w:abstractNumId w:val="26"/>
  </w:num>
  <w:num w:numId="26">
    <w:abstractNumId w:val="26"/>
  </w:num>
  <w:num w:numId="27">
    <w:abstractNumId w:val="16"/>
  </w:num>
  <w:num w:numId="28">
    <w:abstractNumId w:val="6"/>
  </w:num>
  <w:num w:numId="29">
    <w:abstractNumId w:val="21"/>
  </w:num>
  <w:num w:numId="30">
    <w:abstractNumId w:val="4"/>
  </w:num>
  <w:num w:numId="31">
    <w:abstractNumId w:val="1"/>
  </w:num>
  <w:num w:numId="32">
    <w:abstractNumId w:val="25"/>
  </w:num>
  <w:num w:numId="33">
    <w:abstractNumId w:val="9"/>
  </w:num>
  <w:num w:numId="34">
    <w:abstractNumId w:val="20"/>
  </w:num>
  <w:num w:numId="3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6145" fill="f" fillcolor="white" stroke="f">
      <v:fill color="white" on="f"/>
      <v:stroke on="f"/>
      <o:colormru v:ext="edit" colors="#5cace2"/>
    </o:shapedefaults>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58"/>
    <w:rsid w:val="00001AFB"/>
    <w:rsid w:val="00002015"/>
    <w:rsid w:val="00003D7C"/>
    <w:rsid w:val="00007C90"/>
    <w:rsid w:val="00017991"/>
    <w:rsid w:val="000240F7"/>
    <w:rsid w:val="0002589A"/>
    <w:rsid w:val="00033784"/>
    <w:rsid w:val="000358A6"/>
    <w:rsid w:val="00040DFC"/>
    <w:rsid w:val="00042B7C"/>
    <w:rsid w:val="000456D2"/>
    <w:rsid w:val="00052F2F"/>
    <w:rsid w:val="00054ABF"/>
    <w:rsid w:val="000568FB"/>
    <w:rsid w:val="00060773"/>
    <w:rsid w:val="00062B05"/>
    <w:rsid w:val="0006413D"/>
    <w:rsid w:val="00065087"/>
    <w:rsid w:val="000674C4"/>
    <w:rsid w:val="00067506"/>
    <w:rsid w:val="00070EBA"/>
    <w:rsid w:val="00071080"/>
    <w:rsid w:val="00073D4B"/>
    <w:rsid w:val="0007724D"/>
    <w:rsid w:val="000772A8"/>
    <w:rsid w:val="00077321"/>
    <w:rsid w:val="000775B6"/>
    <w:rsid w:val="0008051B"/>
    <w:rsid w:val="00094CD0"/>
    <w:rsid w:val="000A4F3C"/>
    <w:rsid w:val="000B14D0"/>
    <w:rsid w:val="000B1728"/>
    <w:rsid w:val="000B349A"/>
    <w:rsid w:val="000B3AAC"/>
    <w:rsid w:val="000B44FC"/>
    <w:rsid w:val="000B4DD2"/>
    <w:rsid w:val="000B5FAB"/>
    <w:rsid w:val="000B69D4"/>
    <w:rsid w:val="000C02C8"/>
    <w:rsid w:val="000C35A8"/>
    <w:rsid w:val="000C47B2"/>
    <w:rsid w:val="000C6215"/>
    <w:rsid w:val="000D0ED9"/>
    <w:rsid w:val="000D2328"/>
    <w:rsid w:val="000D3A02"/>
    <w:rsid w:val="000E3D49"/>
    <w:rsid w:val="000E4ECB"/>
    <w:rsid w:val="000E65E6"/>
    <w:rsid w:val="000F1A08"/>
    <w:rsid w:val="000F1E4A"/>
    <w:rsid w:val="000F7CFD"/>
    <w:rsid w:val="00100A70"/>
    <w:rsid w:val="00100CB8"/>
    <w:rsid w:val="00101F40"/>
    <w:rsid w:val="00105EB6"/>
    <w:rsid w:val="00111375"/>
    <w:rsid w:val="001157E5"/>
    <w:rsid w:val="00117B3A"/>
    <w:rsid w:val="00126D69"/>
    <w:rsid w:val="00133259"/>
    <w:rsid w:val="00140B0C"/>
    <w:rsid w:val="00144B32"/>
    <w:rsid w:val="00147F81"/>
    <w:rsid w:val="00154971"/>
    <w:rsid w:val="0015583E"/>
    <w:rsid w:val="00155A20"/>
    <w:rsid w:val="00155BBE"/>
    <w:rsid w:val="00162670"/>
    <w:rsid w:val="00170246"/>
    <w:rsid w:val="00174E07"/>
    <w:rsid w:val="00180EF8"/>
    <w:rsid w:val="001821E7"/>
    <w:rsid w:val="00184E6F"/>
    <w:rsid w:val="001858EA"/>
    <w:rsid w:val="00185E20"/>
    <w:rsid w:val="001863F2"/>
    <w:rsid w:val="00187653"/>
    <w:rsid w:val="0019184E"/>
    <w:rsid w:val="00193A2C"/>
    <w:rsid w:val="00195A6F"/>
    <w:rsid w:val="00196CE7"/>
    <w:rsid w:val="00197076"/>
    <w:rsid w:val="001A1637"/>
    <w:rsid w:val="001A4A6F"/>
    <w:rsid w:val="001A76E0"/>
    <w:rsid w:val="001A7F32"/>
    <w:rsid w:val="001B148D"/>
    <w:rsid w:val="001B1EB9"/>
    <w:rsid w:val="001B27FC"/>
    <w:rsid w:val="001B533C"/>
    <w:rsid w:val="001B6C2E"/>
    <w:rsid w:val="001C3E16"/>
    <w:rsid w:val="001C4CA7"/>
    <w:rsid w:val="001C5A3E"/>
    <w:rsid w:val="001C7BB6"/>
    <w:rsid w:val="001D022C"/>
    <w:rsid w:val="001D23F7"/>
    <w:rsid w:val="001D2E91"/>
    <w:rsid w:val="001D7E8E"/>
    <w:rsid w:val="001E14DF"/>
    <w:rsid w:val="001E334E"/>
    <w:rsid w:val="001E3D53"/>
    <w:rsid w:val="001E3DCB"/>
    <w:rsid w:val="001F151C"/>
    <w:rsid w:val="001F1891"/>
    <w:rsid w:val="001F1C46"/>
    <w:rsid w:val="001F7FF7"/>
    <w:rsid w:val="002030D9"/>
    <w:rsid w:val="0021160B"/>
    <w:rsid w:val="00215D89"/>
    <w:rsid w:val="00217CD3"/>
    <w:rsid w:val="00220C7A"/>
    <w:rsid w:val="00222476"/>
    <w:rsid w:val="00224206"/>
    <w:rsid w:val="002253DE"/>
    <w:rsid w:val="002265E9"/>
    <w:rsid w:val="00226FD9"/>
    <w:rsid w:val="00230704"/>
    <w:rsid w:val="0023400B"/>
    <w:rsid w:val="002366D8"/>
    <w:rsid w:val="00237AFF"/>
    <w:rsid w:val="00241A78"/>
    <w:rsid w:val="00244C49"/>
    <w:rsid w:val="00246384"/>
    <w:rsid w:val="002471EC"/>
    <w:rsid w:val="002478EE"/>
    <w:rsid w:val="00251257"/>
    <w:rsid w:val="002554CB"/>
    <w:rsid w:val="002600B4"/>
    <w:rsid w:val="0026371D"/>
    <w:rsid w:val="00264944"/>
    <w:rsid w:val="00266BBD"/>
    <w:rsid w:val="00267BAB"/>
    <w:rsid w:val="00271F5A"/>
    <w:rsid w:val="002761CD"/>
    <w:rsid w:val="0027724E"/>
    <w:rsid w:val="00280953"/>
    <w:rsid w:val="00280F82"/>
    <w:rsid w:val="00284046"/>
    <w:rsid w:val="0028533B"/>
    <w:rsid w:val="002902A4"/>
    <w:rsid w:val="00294D63"/>
    <w:rsid w:val="002968D9"/>
    <w:rsid w:val="002A0960"/>
    <w:rsid w:val="002A3559"/>
    <w:rsid w:val="002A3D6C"/>
    <w:rsid w:val="002A4578"/>
    <w:rsid w:val="002A6291"/>
    <w:rsid w:val="002B1685"/>
    <w:rsid w:val="002B2039"/>
    <w:rsid w:val="002B6861"/>
    <w:rsid w:val="002C0324"/>
    <w:rsid w:val="002C04A3"/>
    <w:rsid w:val="002C28AF"/>
    <w:rsid w:val="002C48D5"/>
    <w:rsid w:val="002C4954"/>
    <w:rsid w:val="002C69D4"/>
    <w:rsid w:val="002D3422"/>
    <w:rsid w:val="002D725D"/>
    <w:rsid w:val="002E2905"/>
    <w:rsid w:val="002E2DBA"/>
    <w:rsid w:val="002E59C0"/>
    <w:rsid w:val="002F1108"/>
    <w:rsid w:val="002F2079"/>
    <w:rsid w:val="002F2B45"/>
    <w:rsid w:val="002F5B39"/>
    <w:rsid w:val="00303CED"/>
    <w:rsid w:val="00304A2C"/>
    <w:rsid w:val="00312F34"/>
    <w:rsid w:val="00316FEB"/>
    <w:rsid w:val="00317666"/>
    <w:rsid w:val="00325DD1"/>
    <w:rsid w:val="00327C28"/>
    <w:rsid w:val="00330AB6"/>
    <w:rsid w:val="00342DAD"/>
    <w:rsid w:val="00356E30"/>
    <w:rsid w:val="00357C1E"/>
    <w:rsid w:val="00370EB6"/>
    <w:rsid w:val="003738C5"/>
    <w:rsid w:val="00374837"/>
    <w:rsid w:val="00376F5B"/>
    <w:rsid w:val="00382734"/>
    <w:rsid w:val="00382C6C"/>
    <w:rsid w:val="00390025"/>
    <w:rsid w:val="00390BE5"/>
    <w:rsid w:val="00391804"/>
    <w:rsid w:val="003932D1"/>
    <w:rsid w:val="003A0AB2"/>
    <w:rsid w:val="003A27B7"/>
    <w:rsid w:val="003B20C5"/>
    <w:rsid w:val="003B4A4A"/>
    <w:rsid w:val="003B6872"/>
    <w:rsid w:val="003B7435"/>
    <w:rsid w:val="003B7A57"/>
    <w:rsid w:val="003C21C8"/>
    <w:rsid w:val="003C288E"/>
    <w:rsid w:val="003D13F0"/>
    <w:rsid w:val="003D1CC5"/>
    <w:rsid w:val="003D3B08"/>
    <w:rsid w:val="003D3D42"/>
    <w:rsid w:val="003D7301"/>
    <w:rsid w:val="003D7E4E"/>
    <w:rsid w:val="003E248D"/>
    <w:rsid w:val="003F0BB2"/>
    <w:rsid w:val="003F14D0"/>
    <w:rsid w:val="003F288C"/>
    <w:rsid w:val="003F2DA1"/>
    <w:rsid w:val="003F4C41"/>
    <w:rsid w:val="004014D6"/>
    <w:rsid w:val="00404EC4"/>
    <w:rsid w:val="004070C6"/>
    <w:rsid w:val="00410E6A"/>
    <w:rsid w:val="004119A5"/>
    <w:rsid w:val="004120E0"/>
    <w:rsid w:val="00412834"/>
    <w:rsid w:val="004160AF"/>
    <w:rsid w:val="004164F4"/>
    <w:rsid w:val="00416F45"/>
    <w:rsid w:val="00417934"/>
    <w:rsid w:val="004247B7"/>
    <w:rsid w:val="00427422"/>
    <w:rsid w:val="00427621"/>
    <w:rsid w:val="0043468E"/>
    <w:rsid w:val="0043616A"/>
    <w:rsid w:val="00440186"/>
    <w:rsid w:val="00441071"/>
    <w:rsid w:val="0044110D"/>
    <w:rsid w:val="00442A6E"/>
    <w:rsid w:val="0044326B"/>
    <w:rsid w:val="00446C40"/>
    <w:rsid w:val="00447968"/>
    <w:rsid w:val="00450441"/>
    <w:rsid w:val="00451381"/>
    <w:rsid w:val="00453097"/>
    <w:rsid w:val="0045424D"/>
    <w:rsid w:val="00457C25"/>
    <w:rsid w:val="00460EBD"/>
    <w:rsid w:val="004623E4"/>
    <w:rsid w:val="00464F22"/>
    <w:rsid w:val="00465F47"/>
    <w:rsid w:val="00467B26"/>
    <w:rsid w:val="004741CD"/>
    <w:rsid w:val="004779F8"/>
    <w:rsid w:val="00481DE1"/>
    <w:rsid w:val="004843C8"/>
    <w:rsid w:val="00487B74"/>
    <w:rsid w:val="00491327"/>
    <w:rsid w:val="00493266"/>
    <w:rsid w:val="00493CE5"/>
    <w:rsid w:val="00495ACE"/>
    <w:rsid w:val="004964F3"/>
    <w:rsid w:val="004A16A8"/>
    <w:rsid w:val="004A1E0B"/>
    <w:rsid w:val="004A1E20"/>
    <w:rsid w:val="004A2A0A"/>
    <w:rsid w:val="004A3120"/>
    <w:rsid w:val="004A43CB"/>
    <w:rsid w:val="004A4AC1"/>
    <w:rsid w:val="004A5E85"/>
    <w:rsid w:val="004A7BD8"/>
    <w:rsid w:val="004B1FDE"/>
    <w:rsid w:val="004C0434"/>
    <w:rsid w:val="004C1102"/>
    <w:rsid w:val="004C4033"/>
    <w:rsid w:val="004C608C"/>
    <w:rsid w:val="004D34E9"/>
    <w:rsid w:val="004D56BF"/>
    <w:rsid w:val="004D7621"/>
    <w:rsid w:val="004E4B01"/>
    <w:rsid w:val="004E53C6"/>
    <w:rsid w:val="004E591A"/>
    <w:rsid w:val="004F677F"/>
    <w:rsid w:val="004F701B"/>
    <w:rsid w:val="00500160"/>
    <w:rsid w:val="00500DF2"/>
    <w:rsid w:val="005100CC"/>
    <w:rsid w:val="00510F6D"/>
    <w:rsid w:val="0051635A"/>
    <w:rsid w:val="005174B2"/>
    <w:rsid w:val="00521675"/>
    <w:rsid w:val="00525620"/>
    <w:rsid w:val="0052744C"/>
    <w:rsid w:val="00527FCF"/>
    <w:rsid w:val="0053304A"/>
    <w:rsid w:val="00537C59"/>
    <w:rsid w:val="0054307A"/>
    <w:rsid w:val="00550845"/>
    <w:rsid w:val="0055687E"/>
    <w:rsid w:val="00557F84"/>
    <w:rsid w:val="00561930"/>
    <w:rsid w:val="00566FC5"/>
    <w:rsid w:val="00572BE1"/>
    <w:rsid w:val="00574CFB"/>
    <w:rsid w:val="00580E41"/>
    <w:rsid w:val="005A70B9"/>
    <w:rsid w:val="005A7229"/>
    <w:rsid w:val="005A7490"/>
    <w:rsid w:val="005B176F"/>
    <w:rsid w:val="005B4513"/>
    <w:rsid w:val="005B7FC2"/>
    <w:rsid w:val="005C096D"/>
    <w:rsid w:val="005C0FDA"/>
    <w:rsid w:val="005C16FB"/>
    <w:rsid w:val="005C4989"/>
    <w:rsid w:val="005C72AD"/>
    <w:rsid w:val="005D3B16"/>
    <w:rsid w:val="005D49FB"/>
    <w:rsid w:val="005D6775"/>
    <w:rsid w:val="005E2A06"/>
    <w:rsid w:val="005F05A1"/>
    <w:rsid w:val="005F1456"/>
    <w:rsid w:val="005F7647"/>
    <w:rsid w:val="00603BF0"/>
    <w:rsid w:val="00607D29"/>
    <w:rsid w:val="006101EB"/>
    <w:rsid w:val="00617478"/>
    <w:rsid w:val="00620157"/>
    <w:rsid w:val="0062063D"/>
    <w:rsid w:val="006258DF"/>
    <w:rsid w:val="006309FC"/>
    <w:rsid w:val="00634C0F"/>
    <w:rsid w:val="006358AA"/>
    <w:rsid w:val="0064621C"/>
    <w:rsid w:val="00646CD2"/>
    <w:rsid w:val="00651D5A"/>
    <w:rsid w:val="006549A0"/>
    <w:rsid w:val="00655BF9"/>
    <w:rsid w:val="00661262"/>
    <w:rsid w:val="006618D3"/>
    <w:rsid w:val="0066248D"/>
    <w:rsid w:val="006669E2"/>
    <w:rsid w:val="0066715B"/>
    <w:rsid w:val="0066770B"/>
    <w:rsid w:val="00670713"/>
    <w:rsid w:val="0067126B"/>
    <w:rsid w:val="00674A8A"/>
    <w:rsid w:val="006802BB"/>
    <w:rsid w:val="0068341F"/>
    <w:rsid w:val="00683BC1"/>
    <w:rsid w:val="0069134D"/>
    <w:rsid w:val="00693575"/>
    <w:rsid w:val="00693860"/>
    <w:rsid w:val="006947F6"/>
    <w:rsid w:val="006A5217"/>
    <w:rsid w:val="006A7E3D"/>
    <w:rsid w:val="006B02FE"/>
    <w:rsid w:val="006B2455"/>
    <w:rsid w:val="006C0ADB"/>
    <w:rsid w:val="006C0C1D"/>
    <w:rsid w:val="006C0E51"/>
    <w:rsid w:val="006C5C44"/>
    <w:rsid w:val="006D05AC"/>
    <w:rsid w:val="006D1135"/>
    <w:rsid w:val="006D1842"/>
    <w:rsid w:val="006D38A6"/>
    <w:rsid w:val="006E0087"/>
    <w:rsid w:val="006E322C"/>
    <w:rsid w:val="006E6538"/>
    <w:rsid w:val="006E7AA6"/>
    <w:rsid w:val="006F0F9D"/>
    <w:rsid w:val="006F2C42"/>
    <w:rsid w:val="006F3451"/>
    <w:rsid w:val="006F3A7E"/>
    <w:rsid w:val="006F3FFC"/>
    <w:rsid w:val="006F4884"/>
    <w:rsid w:val="006F4B50"/>
    <w:rsid w:val="006F7076"/>
    <w:rsid w:val="007009BA"/>
    <w:rsid w:val="00700B10"/>
    <w:rsid w:val="00702341"/>
    <w:rsid w:val="00703DAC"/>
    <w:rsid w:val="0071079D"/>
    <w:rsid w:val="007138E2"/>
    <w:rsid w:val="00717D0F"/>
    <w:rsid w:val="00723702"/>
    <w:rsid w:val="00727E3B"/>
    <w:rsid w:val="007332E4"/>
    <w:rsid w:val="00733961"/>
    <w:rsid w:val="00733BD8"/>
    <w:rsid w:val="00736E8B"/>
    <w:rsid w:val="00741161"/>
    <w:rsid w:val="00742CC5"/>
    <w:rsid w:val="00743DBA"/>
    <w:rsid w:val="00746B6E"/>
    <w:rsid w:val="0075449F"/>
    <w:rsid w:val="007609DB"/>
    <w:rsid w:val="00763E9E"/>
    <w:rsid w:val="007657A8"/>
    <w:rsid w:val="00765B35"/>
    <w:rsid w:val="00767AF6"/>
    <w:rsid w:val="00772CB5"/>
    <w:rsid w:val="007778C1"/>
    <w:rsid w:val="00781758"/>
    <w:rsid w:val="007823A0"/>
    <w:rsid w:val="00782819"/>
    <w:rsid w:val="00782EA2"/>
    <w:rsid w:val="00783345"/>
    <w:rsid w:val="007879BC"/>
    <w:rsid w:val="00790B48"/>
    <w:rsid w:val="00796C9D"/>
    <w:rsid w:val="007A0D1B"/>
    <w:rsid w:val="007A4582"/>
    <w:rsid w:val="007A4B8A"/>
    <w:rsid w:val="007A570F"/>
    <w:rsid w:val="007B0CFA"/>
    <w:rsid w:val="007B1D0D"/>
    <w:rsid w:val="007B28BD"/>
    <w:rsid w:val="007B2A91"/>
    <w:rsid w:val="007B2C22"/>
    <w:rsid w:val="007B64D2"/>
    <w:rsid w:val="007C00C7"/>
    <w:rsid w:val="007C0AB5"/>
    <w:rsid w:val="007C23EC"/>
    <w:rsid w:val="007C46C8"/>
    <w:rsid w:val="007D04A5"/>
    <w:rsid w:val="007D13DC"/>
    <w:rsid w:val="007E12E3"/>
    <w:rsid w:val="007E6457"/>
    <w:rsid w:val="007E6C16"/>
    <w:rsid w:val="007F0453"/>
    <w:rsid w:val="007F50D0"/>
    <w:rsid w:val="00800501"/>
    <w:rsid w:val="008009C6"/>
    <w:rsid w:val="0080117F"/>
    <w:rsid w:val="008013A8"/>
    <w:rsid w:val="0080664E"/>
    <w:rsid w:val="00810C3F"/>
    <w:rsid w:val="00815604"/>
    <w:rsid w:val="00815874"/>
    <w:rsid w:val="00817077"/>
    <w:rsid w:val="00823C9C"/>
    <w:rsid w:val="00824B9D"/>
    <w:rsid w:val="00824FF1"/>
    <w:rsid w:val="00825C06"/>
    <w:rsid w:val="00826FD0"/>
    <w:rsid w:val="00832D3F"/>
    <w:rsid w:val="00833190"/>
    <w:rsid w:val="00835FB4"/>
    <w:rsid w:val="008430F6"/>
    <w:rsid w:val="0084477C"/>
    <w:rsid w:val="00845130"/>
    <w:rsid w:val="00845C94"/>
    <w:rsid w:val="00852678"/>
    <w:rsid w:val="00857440"/>
    <w:rsid w:val="008628F0"/>
    <w:rsid w:val="00863E38"/>
    <w:rsid w:val="0087053E"/>
    <w:rsid w:val="00871C8D"/>
    <w:rsid w:val="008727C2"/>
    <w:rsid w:val="0087347C"/>
    <w:rsid w:val="00874C80"/>
    <w:rsid w:val="0088114D"/>
    <w:rsid w:val="008820FE"/>
    <w:rsid w:val="00887B6F"/>
    <w:rsid w:val="00892ABF"/>
    <w:rsid w:val="008954AC"/>
    <w:rsid w:val="008A1657"/>
    <w:rsid w:val="008A3A31"/>
    <w:rsid w:val="008A3AAF"/>
    <w:rsid w:val="008A49F9"/>
    <w:rsid w:val="008A6873"/>
    <w:rsid w:val="008B1545"/>
    <w:rsid w:val="008B1F0F"/>
    <w:rsid w:val="008B3EAD"/>
    <w:rsid w:val="008B5F7C"/>
    <w:rsid w:val="008C27EF"/>
    <w:rsid w:val="008C3132"/>
    <w:rsid w:val="008D20E7"/>
    <w:rsid w:val="008D235C"/>
    <w:rsid w:val="008D5AF9"/>
    <w:rsid w:val="008D613C"/>
    <w:rsid w:val="008D625B"/>
    <w:rsid w:val="008D6CAD"/>
    <w:rsid w:val="008D715B"/>
    <w:rsid w:val="008E28A0"/>
    <w:rsid w:val="008E4F00"/>
    <w:rsid w:val="008E5253"/>
    <w:rsid w:val="008E53D6"/>
    <w:rsid w:val="008E6AFB"/>
    <w:rsid w:val="008F20E0"/>
    <w:rsid w:val="008F5D1C"/>
    <w:rsid w:val="00900865"/>
    <w:rsid w:val="009026E4"/>
    <w:rsid w:val="0090395F"/>
    <w:rsid w:val="00906B94"/>
    <w:rsid w:val="0091041B"/>
    <w:rsid w:val="0091168D"/>
    <w:rsid w:val="00917493"/>
    <w:rsid w:val="00917835"/>
    <w:rsid w:val="00920E77"/>
    <w:rsid w:val="0092170B"/>
    <w:rsid w:val="009217D3"/>
    <w:rsid w:val="00924B9A"/>
    <w:rsid w:val="009301C0"/>
    <w:rsid w:val="009336B8"/>
    <w:rsid w:val="00933DCA"/>
    <w:rsid w:val="009361D0"/>
    <w:rsid w:val="00944A57"/>
    <w:rsid w:val="009453C4"/>
    <w:rsid w:val="00945C29"/>
    <w:rsid w:val="00946EDF"/>
    <w:rsid w:val="009502EC"/>
    <w:rsid w:val="00951799"/>
    <w:rsid w:val="00952283"/>
    <w:rsid w:val="0095264F"/>
    <w:rsid w:val="009579CB"/>
    <w:rsid w:val="0096531F"/>
    <w:rsid w:val="00966C2C"/>
    <w:rsid w:val="00974817"/>
    <w:rsid w:val="00976879"/>
    <w:rsid w:val="00976CCF"/>
    <w:rsid w:val="00981EA6"/>
    <w:rsid w:val="00984F3C"/>
    <w:rsid w:val="00992223"/>
    <w:rsid w:val="00992A73"/>
    <w:rsid w:val="0099606B"/>
    <w:rsid w:val="009968AA"/>
    <w:rsid w:val="009A162A"/>
    <w:rsid w:val="009A3DE5"/>
    <w:rsid w:val="009A444F"/>
    <w:rsid w:val="009A4968"/>
    <w:rsid w:val="009A5E11"/>
    <w:rsid w:val="009B4C6A"/>
    <w:rsid w:val="009B5643"/>
    <w:rsid w:val="009B5B4A"/>
    <w:rsid w:val="009C3BE4"/>
    <w:rsid w:val="009C4052"/>
    <w:rsid w:val="009C75FF"/>
    <w:rsid w:val="009D14E0"/>
    <w:rsid w:val="009D468E"/>
    <w:rsid w:val="009D4C6E"/>
    <w:rsid w:val="009D6607"/>
    <w:rsid w:val="009F3EA2"/>
    <w:rsid w:val="009F4499"/>
    <w:rsid w:val="009F5D5B"/>
    <w:rsid w:val="009F678B"/>
    <w:rsid w:val="009F6BFB"/>
    <w:rsid w:val="00A054F5"/>
    <w:rsid w:val="00A0795D"/>
    <w:rsid w:val="00A10515"/>
    <w:rsid w:val="00A10E6E"/>
    <w:rsid w:val="00A128E7"/>
    <w:rsid w:val="00A14BD6"/>
    <w:rsid w:val="00A16ACF"/>
    <w:rsid w:val="00A17387"/>
    <w:rsid w:val="00A23A7F"/>
    <w:rsid w:val="00A30558"/>
    <w:rsid w:val="00A32D89"/>
    <w:rsid w:val="00A331B2"/>
    <w:rsid w:val="00A40D2B"/>
    <w:rsid w:val="00A40EFB"/>
    <w:rsid w:val="00A41A09"/>
    <w:rsid w:val="00A42C51"/>
    <w:rsid w:val="00A503D6"/>
    <w:rsid w:val="00A535C4"/>
    <w:rsid w:val="00A53663"/>
    <w:rsid w:val="00A5543A"/>
    <w:rsid w:val="00A600D0"/>
    <w:rsid w:val="00A666B9"/>
    <w:rsid w:val="00A6718F"/>
    <w:rsid w:val="00A73345"/>
    <w:rsid w:val="00A750B7"/>
    <w:rsid w:val="00A77472"/>
    <w:rsid w:val="00A776F9"/>
    <w:rsid w:val="00A8081E"/>
    <w:rsid w:val="00A82635"/>
    <w:rsid w:val="00A82B84"/>
    <w:rsid w:val="00A87D71"/>
    <w:rsid w:val="00A9067F"/>
    <w:rsid w:val="00A91228"/>
    <w:rsid w:val="00A93C42"/>
    <w:rsid w:val="00A9575B"/>
    <w:rsid w:val="00AA2A58"/>
    <w:rsid w:val="00AA2FCE"/>
    <w:rsid w:val="00AA39EA"/>
    <w:rsid w:val="00AA563E"/>
    <w:rsid w:val="00AB3077"/>
    <w:rsid w:val="00AB6033"/>
    <w:rsid w:val="00AC3674"/>
    <w:rsid w:val="00AC3A2A"/>
    <w:rsid w:val="00AD0B43"/>
    <w:rsid w:val="00AD5EA5"/>
    <w:rsid w:val="00AD78B6"/>
    <w:rsid w:val="00AD7D2C"/>
    <w:rsid w:val="00AE2689"/>
    <w:rsid w:val="00AE2BCC"/>
    <w:rsid w:val="00AE7D6E"/>
    <w:rsid w:val="00AF5428"/>
    <w:rsid w:val="00AF6289"/>
    <w:rsid w:val="00AF77F3"/>
    <w:rsid w:val="00B11139"/>
    <w:rsid w:val="00B12DA4"/>
    <w:rsid w:val="00B1579E"/>
    <w:rsid w:val="00B16C4F"/>
    <w:rsid w:val="00B17998"/>
    <w:rsid w:val="00B31E0A"/>
    <w:rsid w:val="00B3534C"/>
    <w:rsid w:val="00B412C0"/>
    <w:rsid w:val="00B41688"/>
    <w:rsid w:val="00B463EA"/>
    <w:rsid w:val="00B465B4"/>
    <w:rsid w:val="00B53DFD"/>
    <w:rsid w:val="00B54242"/>
    <w:rsid w:val="00B57B97"/>
    <w:rsid w:val="00B72FB0"/>
    <w:rsid w:val="00B7475D"/>
    <w:rsid w:val="00B74F2D"/>
    <w:rsid w:val="00B81C9C"/>
    <w:rsid w:val="00B83AA0"/>
    <w:rsid w:val="00B87786"/>
    <w:rsid w:val="00B92FD1"/>
    <w:rsid w:val="00B95E6B"/>
    <w:rsid w:val="00BA3151"/>
    <w:rsid w:val="00BA3967"/>
    <w:rsid w:val="00BB2179"/>
    <w:rsid w:val="00BB6674"/>
    <w:rsid w:val="00BB7629"/>
    <w:rsid w:val="00BB7CB8"/>
    <w:rsid w:val="00BC3C00"/>
    <w:rsid w:val="00BC4A05"/>
    <w:rsid w:val="00BC6FDE"/>
    <w:rsid w:val="00BC7F03"/>
    <w:rsid w:val="00BD307D"/>
    <w:rsid w:val="00BD4139"/>
    <w:rsid w:val="00BD4234"/>
    <w:rsid w:val="00BD6689"/>
    <w:rsid w:val="00BD6887"/>
    <w:rsid w:val="00BE29E4"/>
    <w:rsid w:val="00BE3FF1"/>
    <w:rsid w:val="00BE6681"/>
    <w:rsid w:val="00BF3730"/>
    <w:rsid w:val="00BF3891"/>
    <w:rsid w:val="00BF695A"/>
    <w:rsid w:val="00C0078B"/>
    <w:rsid w:val="00C02615"/>
    <w:rsid w:val="00C03060"/>
    <w:rsid w:val="00C03119"/>
    <w:rsid w:val="00C0408D"/>
    <w:rsid w:val="00C07C47"/>
    <w:rsid w:val="00C14A5B"/>
    <w:rsid w:val="00C14AE8"/>
    <w:rsid w:val="00C17082"/>
    <w:rsid w:val="00C1710A"/>
    <w:rsid w:val="00C21323"/>
    <w:rsid w:val="00C242BC"/>
    <w:rsid w:val="00C27BE7"/>
    <w:rsid w:val="00C306C3"/>
    <w:rsid w:val="00C30EC8"/>
    <w:rsid w:val="00C313ED"/>
    <w:rsid w:val="00C3388E"/>
    <w:rsid w:val="00C4103B"/>
    <w:rsid w:val="00C41C25"/>
    <w:rsid w:val="00C506A9"/>
    <w:rsid w:val="00C50D6C"/>
    <w:rsid w:val="00C51853"/>
    <w:rsid w:val="00C55592"/>
    <w:rsid w:val="00C56F9F"/>
    <w:rsid w:val="00C61C6A"/>
    <w:rsid w:val="00C6298E"/>
    <w:rsid w:val="00C6379C"/>
    <w:rsid w:val="00C63EEA"/>
    <w:rsid w:val="00C663B2"/>
    <w:rsid w:val="00C67491"/>
    <w:rsid w:val="00C727F8"/>
    <w:rsid w:val="00C72CA6"/>
    <w:rsid w:val="00C76D3E"/>
    <w:rsid w:val="00C800D2"/>
    <w:rsid w:val="00C8154D"/>
    <w:rsid w:val="00C8179F"/>
    <w:rsid w:val="00C82F82"/>
    <w:rsid w:val="00C8314E"/>
    <w:rsid w:val="00C91771"/>
    <w:rsid w:val="00C92966"/>
    <w:rsid w:val="00C9626C"/>
    <w:rsid w:val="00CA3406"/>
    <w:rsid w:val="00CA4073"/>
    <w:rsid w:val="00CA6B81"/>
    <w:rsid w:val="00CA7572"/>
    <w:rsid w:val="00CB0562"/>
    <w:rsid w:val="00CB2027"/>
    <w:rsid w:val="00CB624D"/>
    <w:rsid w:val="00CB7408"/>
    <w:rsid w:val="00CC07AE"/>
    <w:rsid w:val="00CC38F5"/>
    <w:rsid w:val="00CC3A8F"/>
    <w:rsid w:val="00CC4295"/>
    <w:rsid w:val="00CC623C"/>
    <w:rsid w:val="00CC6EB3"/>
    <w:rsid w:val="00CC733F"/>
    <w:rsid w:val="00CD779B"/>
    <w:rsid w:val="00CE0204"/>
    <w:rsid w:val="00CE2B66"/>
    <w:rsid w:val="00CF44ED"/>
    <w:rsid w:val="00D0225B"/>
    <w:rsid w:val="00D02803"/>
    <w:rsid w:val="00D045D4"/>
    <w:rsid w:val="00D13D66"/>
    <w:rsid w:val="00D148AA"/>
    <w:rsid w:val="00D1649D"/>
    <w:rsid w:val="00D222E3"/>
    <w:rsid w:val="00D304EF"/>
    <w:rsid w:val="00D32C5C"/>
    <w:rsid w:val="00D4007B"/>
    <w:rsid w:val="00D41B9F"/>
    <w:rsid w:val="00D51F38"/>
    <w:rsid w:val="00D6042C"/>
    <w:rsid w:val="00D608A3"/>
    <w:rsid w:val="00D61259"/>
    <w:rsid w:val="00D62220"/>
    <w:rsid w:val="00D639D7"/>
    <w:rsid w:val="00D66DAB"/>
    <w:rsid w:val="00D673A6"/>
    <w:rsid w:val="00D6761C"/>
    <w:rsid w:val="00D71446"/>
    <w:rsid w:val="00D71B97"/>
    <w:rsid w:val="00D72165"/>
    <w:rsid w:val="00D73A44"/>
    <w:rsid w:val="00D7511A"/>
    <w:rsid w:val="00D75DF8"/>
    <w:rsid w:val="00D7794A"/>
    <w:rsid w:val="00D8241A"/>
    <w:rsid w:val="00D86ADA"/>
    <w:rsid w:val="00D9487E"/>
    <w:rsid w:val="00D94FFB"/>
    <w:rsid w:val="00D95537"/>
    <w:rsid w:val="00D968DB"/>
    <w:rsid w:val="00D97293"/>
    <w:rsid w:val="00D97C2E"/>
    <w:rsid w:val="00D97EF6"/>
    <w:rsid w:val="00DA1EF2"/>
    <w:rsid w:val="00DA5A4C"/>
    <w:rsid w:val="00DB1FB1"/>
    <w:rsid w:val="00DB3C25"/>
    <w:rsid w:val="00DB4E20"/>
    <w:rsid w:val="00DC0AC4"/>
    <w:rsid w:val="00DC1EC3"/>
    <w:rsid w:val="00DC32D2"/>
    <w:rsid w:val="00DC49B1"/>
    <w:rsid w:val="00DC5161"/>
    <w:rsid w:val="00DD2058"/>
    <w:rsid w:val="00DD295C"/>
    <w:rsid w:val="00DD3795"/>
    <w:rsid w:val="00DD4035"/>
    <w:rsid w:val="00DE01FF"/>
    <w:rsid w:val="00DE269A"/>
    <w:rsid w:val="00DE53FF"/>
    <w:rsid w:val="00DE54B1"/>
    <w:rsid w:val="00DF0D39"/>
    <w:rsid w:val="00DF3847"/>
    <w:rsid w:val="00E02069"/>
    <w:rsid w:val="00E021B8"/>
    <w:rsid w:val="00E03C17"/>
    <w:rsid w:val="00E04D44"/>
    <w:rsid w:val="00E075A6"/>
    <w:rsid w:val="00E125C1"/>
    <w:rsid w:val="00E226DF"/>
    <w:rsid w:val="00E26459"/>
    <w:rsid w:val="00E3173C"/>
    <w:rsid w:val="00E4106B"/>
    <w:rsid w:val="00E427CC"/>
    <w:rsid w:val="00E4473B"/>
    <w:rsid w:val="00E517DF"/>
    <w:rsid w:val="00E566D7"/>
    <w:rsid w:val="00E6114F"/>
    <w:rsid w:val="00E62B60"/>
    <w:rsid w:val="00E63879"/>
    <w:rsid w:val="00E644B8"/>
    <w:rsid w:val="00E64F4E"/>
    <w:rsid w:val="00E66DEE"/>
    <w:rsid w:val="00E7002E"/>
    <w:rsid w:val="00E73E65"/>
    <w:rsid w:val="00E772A7"/>
    <w:rsid w:val="00E81298"/>
    <w:rsid w:val="00E85E8A"/>
    <w:rsid w:val="00E863F2"/>
    <w:rsid w:val="00E866D0"/>
    <w:rsid w:val="00E86B4C"/>
    <w:rsid w:val="00E91F9E"/>
    <w:rsid w:val="00EA1BA6"/>
    <w:rsid w:val="00EA37E2"/>
    <w:rsid w:val="00EB08FC"/>
    <w:rsid w:val="00EB2B43"/>
    <w:rsid w:val="00EB2CF6"/>
    <w:rsid w:val="00EB303A"/>
    <w:rsid w:val="00EB4B47"/>
    <w:rsid w:val="00EB4BFD"/>
    <w:rsid w:val="00EB64A5"/>
    <w:rsid w:val="00EB7BA7"/>
    <w:rsid w:val="00EC39BE"/>
    <w:rsid w:val="00EC6CF9"/>
    <w:rsid w:val="00EC7830"/>
    <w:rsid w:val="00ED1743"/>
    <w:rsid w:val="00ED2630"/>
    <w:rsid w:val="00ED4BDF"/>
    <w:rsid w:val="00EE4981"/>
    <w:rsid w:val="00EE72FF"/>
    <w:rsid w:val="00EF101B"/>
    <w:rsid w:val="00EF1209"/>
    <w:rsid w:val="00EF3FB9"/>
    <w:rsid w:val="00EF42EF"/>
    <w:rsid w:val="00EF5481"/>
    <w:rsid w:val="00EF7DA7"/>
    <w:rsid w:val="00F05A93"/>
    <w:rsid w:val="00F103E8"/>
    <w:rsid w:val="00F104EA"/>
    <w:rsid w:val="00F12271"/>
    <w:rsid w:val="00F12F9A"/>
    <w:rsid w:val="00F130D9"/>
    <w:rsid w:val="00F15C05"/>
    <w:rsid w:val="00F174E0"/>
    <w:rsid w:val="00F23FAB"/>
    <w:rsid w:val="00F31EBC"/>
    <w:rsid w:val="00F32796"/>
    <w:rsid w:val="00F35B60"/>
    <w:rsid w:val="00F37105"/>
    <w:rsid w:val="00F4466A"/>
    <w:rsid w:val="00F44691"/>
    <w:rsid w:val="00F5003E"/>
    <w:rsid w:val="00F50570"/>
    <w:rsid w:val="00F5353A"/>
    <w:rsid w:val="00F54601"/>
    <w:rsid w:val="00F54FC9"/>
    <w:rsid w:val="00F56A7D"/>
    <w:rsid w:val="00F57561"/>
    <w:rsid w:val="00F64AD4"/>
    <w:rsid w:val="00F71CA8"/>
    <w:rsid w:val="00F73F48"/>
    <w:rsid w:val="00F74AF0"/>
    <w:rsid w:val="00F74B01"/>
    <w:rsid w:val="00F80777"/>
    <w:rsid w:val="00F80AE3"/>
    <w:rsid w:val="00F82AC4"/>
    <w:rsid w:val="00F85148"/>
    <w:rsid w:val="00F9403A"/>
    <w:rsid w:val="00F96FCF"/>
    <w:rsid w:val="00F97BA5"/>
    <w:rsid w:val="00F97C6B"/>
    <w:rsid w:val="00F97EAB"/>
    <w:rsid w:val="00FA13AE"/>
    <w:rsid w:val="00FA676F"/>
    <w:rsid w:val="00FA7324"/>
    <w:rsid w:val="00FB12D5"/>
    <w:rsid w:val="00FB1BE3"/>
    <w:rsid w:val="00FB2F1A"/>
    <w:rsid w:val="00FB516A"/>
    <w:rsid w:val="00FB7916"/>
    <w:rsid w:val="00FC2D29"/>
    <w:rsid w:val="00FC5728"/>
    <w:rsid w:val="00FC65C5"/>
    <w:rsid w:val="00FC670A"/>
    <w:rsid w:val="00FD4BC5"/>
    <w:rsid w:val="00FD5443"/>
    <w:rsid w:val="00FE0272"/>
    <w:rsid w:val="00FE1555"/>
    <w:rsid w:val="00FE7693"/>
    <w:rsid w:val="00FE7D0D"/>
    <w:rsid w:val="00FE7DF1"/>
    <w:rsid w:val="00FE7E99"/>
    <w:rsid w:val="00FF174F"/>
    <w:rsid w:val="00FF423A"/>
    <w:rsid w:val="00FF49E6"/>
    <w:rsid w:val="00FF5A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colormru v:ext="edit" colors="#5cace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F1"/>
    <w:pPr>
      <w:spacing w:before="240" w:after="240"/>
      <w:jc w:val="both"/>
    </w:pPr>
    <w:rPr>
      <w:rFonts w:ascii="Arial Narrow" w:hAnsi="Arial Narrow"/>
      <w:sz w:val="24"/>
      <w:szCs w:val="24"/>
    </w:rPr>
  </w:style>
  <w:style w:type="paragraph" w:styleId="Ttulo1">
    <w:name w:val="heading 1"/>
    <w:basedOn w:val="Normal"/>
    <w:next w:val="Normal"/>
    <w:link w:val="Ttulo1Car"/>
    <w:qFormat/>
    <w:rsid w:val="00241A78"/>
    <w:pPr>
      <w:keepNext/>
      <w:keepLines/>
      <w:pageBreakBefore/>
      <w:numPr>
        <w:numId w:val="26"/>
      </w:numPr>
      <w:pBdr>
        <w:top w:val="single" w:sz="4" w:space="1" w:color="6798C1"/>
        <w:left w:val="single" w:sz="4" w:space="4" w:color="6798C1"/>
        <w:bottom w:val="single" w:sz="4" w:space="1" w:color="6798C1"/>
        <w:right w:val="single" w:sz="4" w:space="4" w:color="6798C1"/>
      </w:pBdr>
      <w:shd w:val="clear" w:color="auto" w:fill="5CACE2"/>
      <w:tabs>
        <w:tab w:val="left" w:pos="709"/>
      </w:tabs>
      <w:spacing w:before="0"/>
      <w:jc w:val="left"/>
      <w:outlineLvl w:val="0"/>
    </w:pPr>
    <w:rPr>
      <w:b/>
      <w:smallCaps/>
      <w:color w:val="FFFFFF" w:themeColor="background1"/>
      <w:kern w:val="28"/>
      <w:sz w:val="30"/>
      <w:szCs w:val="20"/>
    </w:rPr>
  </w:style>
  <w:style w:type="paragraph" w:styleId="Ttulo2">
    <w:name w:val="heading 2"/>
    <w:basedOn w:val="Normal"/>
    <w:next w:val="Normal"/>
    <w:link w:val="Ttulo2Car"/>
    <w:qFormat/>
    <w:rsid w:val="00241A78"/>
    <w:pPr>
      <w:keepNext/>
      <w:numPr>
        <w:ilvl w:val="1"/>
        <w:numId w:val="26"/>
      </w:numPr>
      <w:pBdr>
        <w:top w:val="single" w:sz="4" w:space="1" w:color="5CACE2"/>
        <w:left w:val="single" w:sz="4" w:space="4" w:color="5CACE2"/>
        <w:bottom w:val="single" w:sz="4" w:space="1" w:color="5CACE2"/>
        <w:right w:val="single" w:sz="4" w:space="4" w:color="5CACE2"/>
      </w:pBdr>
      <w:shd w:val="clear" w:color="auto" w:fill="FFFFFF" w:themeFill="background1"/>
      <w:spacing w:after="120"/>
      <w:jc w:val="left"/>
      <w:outlineLvl w:val="1"/>
    </w:pPr>
    <w:rPr>
      <w:sz w:val="28"/>
      <w:szCs w:val="22"/>
    </w:rPr>
  </w:style>
  <w:style w:type="paragraph" w:styleId="Ttulo3">
    <w:name w:val="heading 3"/>
    <w:basedOn w:val="Normal"/>
    <w:next w:val="Normal"/>
    <w:link w:val="Ttulo3Car"/>
    <w:qFormat/>
    <w:rsid w:val="00D51F38"/>
    <w:pPr>
      <w:keepNext/>
      <w:numPr>
        <w:ilvl w:val="2"/>
        <w:numId w:val="26"/>
      </w:numPr>
      <w:spacing w:after="120"/>
      <w:jc w:val="left"/>
      <w:outlineLvl w:val="2"/>
    </w:pPr>
    <w:rPr>
      <w:b/>
      <w:color w:val="5CACE2"/>
      <w:sz w:val="26"/>
      <w:szCs w:val="22"/>
    </w:rPr>
  </w:style>
  <w:style w:type="paragraph" w:styleId="Ttulo4">
    <w:name w:val="heading 4"/>
    <w:basedOn w:val="Normal"/>
    <w:next w:val="Normal"/>
    <w:link w:val="Ttulo4Car"/>
    <w:qFormat/>
    <w:rsid w:val="00D51F38"/>
    <w:pPr>
      <w:keepNext/>
      <w:numPr>
        <w:ilvl w:val="3"/>
        <w:numId w:val="26"/>
      </w:numPr>
      <w:pBdr>
        <w:top w:val="single" w:sz="4" w:space="1" w:color="5CACE2"/>
        <w:left w:val="single" w:sz="4" w:space="4" w:color="5CACE2"/>
      </w:pBdr>
      <w:spacing w:after="120"/>
      <w:jc w:val="left"/>
      <w:outlineLvl w:val="3"/>
    </w:pPr>
    <w:rPr>
      <w:b/>
      <w:color w:val="5CACE2"/>
      <w:szCs w:val="20"/>
    </w:rPr>
  </w:style>
  <w:style w:type="paragraph" w:styleId="Ttulo5">
    <w:name w:val="heading 5"/>
    <w:basedOn w:val="Ttulo4"/>
    <w:next w:val="Normal"/>
    <w:link w:val="Ttulo5Car"/>
    <w:qFormat/>
    <w:rsid w:val="00D51F38"/>
    <w:pPr>
      <w:numPr>
        <w:ilvl w:val="4"/>
      </w:numPr>
      <w:ind w:left="2138"/>
      <w:outlineLvl w:val="4"/>
    </w:pPr>
  </w:style>
  <w:style w:type="paragraph" w:styleId="Ttulo6">
    <w:name w:val="heading 6"/>
    <w:basedOn w:val="Normal"/>
    <w:next w:val="Normal"/>
    <w:link w:val="Ttulo6Car"/>
    <w:autoRedefine/>
    <w:qFormat/>
    <w:rsid w:val="00D51F38"/>
    <w:pPr>
      <w:numPr>
        <w:ilvl w:val="5"/>
        <w:numId w:val="26"/>
      </w:numPr>
      <w:spacing w:after="120"/>
      <w:ind w:left="1418" w:firstLine="0"/>
      <w:outlineLvl w:val="5"/>
    </w:pPr>
    <w:rPr>
      <w:i/>
      <w:szCs w:val="20"/>
    </w:rPr>
  </w:style>
  <w:style w:type="paragraph" w:styleId="Ttulo7">
    <w:name w:val="heading 7"/>
    <w:basedOn w:val="Normal"/>
    <w:next w:val="Normal"/>
    <w:link w:val="Ttulo7Car"/>
    <w:autoRedefine/>
    <w:semiHidden/>
    <w:unhideWhenUsed/>
    <w:qFormat/>
    <w:rsid w:val="004A2A0A"/>
    <w:pPr>
      <w:numPr>
        <w:ilvl w:val="6"/>
        <w:numId w:val="26"/>
      </w:numPr>
      <w:spacing w:after="60"/>
      <w:outlineLvl w:val="6"/>
    </w:pPr>
    <w:rPr>
      <w:szCs w:val="20"/>
    </w:rPr>
  </w:style>
  <w:style w:type="paragraph" w:styleId="Ttulo8">
    <w:name w:val="heading 8"/>
    <w:basedOn w:val="Normal"/>
    <w:next w:val="Normal"/>
    <w:link w:val="Ttulo8Car"/>
    <w:autoRedefine/>
    <w:semiHidden/>
    <w:unhideWhenUsed/>
    <w:qFormat/>
    <w:rsid w:val="00B81C9C"/>
    <w:pPr>
      <w:numPr>
        <w:ilvl w:val="7"/>
        <w:numId w:val="26"/>
      </w:numPr>
      <w:spacing w:after="60"/>
      <w:outlineLvl w:val="7"/>
    </w:pPr>
    <w:rPr>
      <w:i/>
      <w:szCs w:val="20"/>
    </w:rPr>
  </w:style>
  <w:style w:type="paragraph" w:styleId="Ttulo9">
    <w:name w:val="heading 9"/>
    <w:aliases w:val="Título de Índice"/>
    <w:basedOn w:val="Normal"/>
    <w:next w:val="Normal"/>
    <w:link w:val="Ttulo9Car"/>
    <w:autoRedefine/>
    <w:semiHidden/>
    <w:unhideWhenUsed/>
    <w:qFormat/>
    <w:rsid w:val="00B81C9C"/>
    <w:pPr>
      <w:pBdr>
        <w:top w:val="single" w:sz="12" w:space="1" w:color="5CACE2"/>
        <w:left w:val="single" w:sz="12" w:space="4" w:color="5CACE2"/>
        <w:bottom w:val="single" w:sz="12" w:space="1" w:color="5CACE2"/>
        <w:right w:val="single" w:sz="12" w:space="4" w:color="5CACE2"/>
      </w:pBdr>
      <w:spacing w:before="0" w:after="60"/>
      <w:jc w:val="center"/>
      <w:outlineLvl w:val="8"/>
    </w:pPr>
    <w:rPr>
      <w:b/>
      <w:color w:val="5CACE2"/>
      <w:sz w:val="2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1B27FC"/>
    <w:pPr>
      <w:keepLines/>
      <w:spacing w:before="0" w:after="0"/>
    </w:pPr>
    <w:rPr>
      <w:sz w:val="18"/>
    </w:rPr>
  </w:style>
  <w:style w:type="paragraph" w:styleId="Piedepgina">
    <w:name w:val="footer"/>
    <w:basedOn w:val="Normal"/>
    <w:link w:val="PiedepginaCar"/>
    <w:uiPriority w:val="99"/>
    <w:rsid w:val="001B27FC"/>
    <w:pPr>
      <w:pBdr>
        <w:top w:val="single" w:sz="4" w:space="1" w:color="auto"/>
      </w:pBdr>
      <w:tabs>
        <w:tab w:val="center" w:pos="4252"/>
        <w:tab w:val="right" w:pos="8504"/>
      </w:tabs>
      <w:spacing w:before="0" w:after="0"/>
      <w:jc w:val="left"/>
    </w:pPr>
    <w:rPr>
      <w:sz w:val="18"/>
    </w:rPr>
  </w:style>
  <w:style w:type="paragraph" w:styleId="Encabezado">
    <w:name w:val="header"/>
    <w:basedOn w:val="Normal"/>
    <w:link w:val="EncabezadoCar"/>
    <w:autoRedefine/>
    <w:uiPriority w:val="99"/>
    <w:rsid w:val="00FB12D5"/>
    <w:pPr>
      <w:pBdr>
        <w:bottom w:val="double" w:sz="4" w:space="1" w:color="6699C0"/>
      </w:pBdr>
      <w:tabs>
        <w:tab w:val="center" w:pos="4252"/>
        <w:tab w:val="right" w:pos="8364"/>
      </w:tabs>
      <w:spacing w:before="0" w:after="0"/>
      <w:jc w:val="center"/>
    </w:pPr>
    <w:rPr>
      <w:i/>
      <w:color w:val="629AC8"/>
      <w:sz w:val="20"/>
    </w:rPr>
  </w:style>
  <w:style w:type="paragraph" w:styleId="Epgrafe">
    <w:name w:val="caption"/>
    <w:basedOn w:val="Normal"/>
    <w:next w:val="Normal"/>
    <w:semiHidden/>
    <w:unhideWhenUsed/>
    <w:qFormat/>
    <w:rsid w:val="009502EC"/>
    <w:pPr>
      <w:keepNext/>
      <w:keepLines/>
      <w:spacing w:before="360" w:after="0"/>
      <w:jc w:val="left"/>
    </w:pPr>
    <w:rPr>
      <w:b/>
      <w:bCs/>
      <w:i/>
      <w:sz w:val="20"/>
    </w:rPr>
  </w:style>
  <w:style w:type="paragraph" w:styleId="Ttulodendice">
    <w:name w:val="index heading"/>
    <w:basedOn w:val="Normal"/>
    <w:next w:val="Normal"/>
    <w:semiHidden/>
    <w:rsid w:val="001B27FC"/>
    <w:pPr>
      <w:pBdr>
        <w:top w:val="single" w:sz="18" w:space="1" w:color="000080"/>
        <w:left w:val="single" w:sz="18" w:space="4" w:color="000080"/>
        <w:bottom w:val="single" w:sz="18" w:space="1" w:color="000080"/>
        <w:right w:val="single" w:sz="18" w:space="4" w:color="000080"/>
      </w:pBdr>
      <w:spacing w:before="0" w:after="360"/>
      <w:jc w:val="center"/>
    </w:pPr>
    <w:rPr>
      <w:b/>
      <w:color w:val="000080"/>
      <w:sz w:val="26"/>
      <w:szCs w:val="20"/>
    </w:rPr>
  </w:style>
  <w:style w:type="paragraph" w:styleId="TDC1">
    <w:name w:val="toc 1"/>
    <w:basedOn w:val="Normal"/>
    <w:next w:val="Normal"/>
    <w:uiPriority w:val="39"/>
    <w:rsid w:val="001B27FC"/>
    <w:pPr>
      <w:tabs>
        <w:tab w:val="left" w:pos="426"/>
        <w:tab w:val="right" w:leader="dot" w:pos="7077"/>
      </w:tabs>
      <w:ind w:left="426" w:hanging="426"/>
      <w:jc w:val="left"/>
    </w:pPr>
    <w:rPr>
      <w:b/>
      <w:smallCaps/>
      <w:noProof/>
      <w:sz w:val="20"/>
    </w:rPr>
  </w:style>
  <w:style w:type="paragraph" w:styleId="TDC2">
    <w:name w:val="toc 2"/>
    <w:basedOn w:val="Normal"/>
    <w:next w:val="Normal"/>
    <w:uiPriority w:val="39"/>
    <w:rsid w:val="001B27FC"/>
    <w:pPr>
      <w:tabs>
        <w:tab w:val="left" w:pos="851"/>
        <w:tab w:val="right" w:leader="dot" w:pos="7077"/>
      </w:tabs>
      <w:spacing w:before="0" w:after="0"/>
      <w:ind w:left="851" w:hanging="425"/>
      <w:jc w:val="left"/>
    </w:pPr>
    <w:rPr>
      <w:i/>
      <w:noProof/>
      <w:sz w:val="20"/>
    </w:rPr>
  </w:style>
  <w:style w:type="paragraph" w:styleId="TDC3">
    <w:name w:val="toc 3"/>
    <w:basedOn w:val="Normal"/>
    <w:next w:val="Normal"/>
    <w:uiPriority w:val="39"/>
    <w:rsid w:val="001B27FC"/>
    <w:pPr>
      <w:tabs>
        <w:tab w:val="left" w:pos="1418"/>
        <w:tab w:val="right" w:leader="dot" w:pos="7077"/>
      </w:tabs>
      <w:spacing w:before="0" w:after="0"/>
      <w:ind w:left="1418" w:hanging="567"/>
      <w:jc w:val="left"/>
    </w:pPr>
    <w:rPr>
      <w:noProof/>
      <w:sz w:val="20"/>
    </w:rPr>
  </w:style>
  <w:style w:type="paragraph" w:styleId="TDC4">
    <w:name w:val="toc 4"/>
    <w:basedOn w:val="Normal"/>
    <w:next w:val="Normal"/>
    <w:semiHidden/>
    <w:rsid w:val="001B27FC"/>
    <w:pPr>
      <w:tabs>
        <w:tab w:val="right" w:leader="dot" w:pos="7077"/>
      </w:tabs>
      <w:spacing w:before="0" w:after="0"/>
      <w:ind w:left="1701" w:hanging="283"/>
      <w:jc w:val="left"/>
    </w:pPr>
    <w:rPr>
      <w:i/>
      <w:noProof/>
      <w:sz w:val="18"/>
    </w:rPr>
  </w:style>
  <w:style w:type="paragraph" w:customStyle="1" w:styleId="Bolos">
    <w:name w:val="Bolos"/>
    <w:basedOn w:val="Normal"/>
    <w:next w:val="Normal"/>
    <w:link w:val="BolosCar"/>
    <w:uiPriority w:val="1"/>
    <w:qFormat/>
    <w:rsid w:val="00BD4139"/>
    <w:pPr>
      <w:numPr>
        <w:numId w:val="3"/>
      </w:numPr>
    </w:pPr>
  </w:style>
  <w:style w:type="paragraph" w:customStyle="1" w:styleId="Tablascuadrosygrficos">
    <w:name w:val="Tablas cuadros y gráficos"/>
    <w:basedOn w:val="Normal"/>
    <w:next w:val="Normal"/>
    <w:rsid w:val="001B27FC"/>
    <w:pPr>
      <w:keepNext/>
      <w:keepLines/>
      <w:numPr>
        <w:ilvl w:val="12"/>
      </w:numPr>
      <w:spacing w:before="0" w:after="0"/>
      <w:jc w:val="center"/>
    </w:pPr>
    <w:rPr>
      <w:snapToGrid w:val="0"/>
      <w:sz w:val="16"/>
    </w:rPr>
  </w:style>
  <w:style w:type="paragraph" w:customStyle="1" w:styleId="Fuente">
    <w:name w:val="Fuente"/>
    <w:basedOn w:val="Normal"/>
    <w:next w:val="Normal"/>
    <w:semiHidden/>
    <w:unhideWhenUsed/>
    <w:rsid w:val="001B27FC"/>
    <w:pPr>
      <w:keepLines/>
      <w:spacing w:before="0" w:after="480"/>
      <w:ind w:right="142"/>
      <w:jc w:val="left"/>
    </w:pPr>
    <w:rPr>
      <w:b/>
      <w:bCs/>
      <w:i/>
      <w:sz w:val="18"/>
    </w:rPr>
  </w:style>
  <w:style w:type="paragraph" w:styleId="TDC5">
    <w:name w:val="toc 5"/>
    <w:basedOn w:val="Normal"/>
    <w:next w:val="Normal"/>
    <w:autoRedefine/>
    <w:semiHidden/>
    <w:rsid w:val="001B27FC"/>
    <w:pPr>
      <w:tabs>
        <w:tab w:val="right" w:leader="dot" w:pos="7077"/>
      </w:tabs>
      <w:spacing w:before="0" w:after="0"/>
      <w:ind w:left="1843" w:hanging="425"/>
      <w:jc w:val="left"/>
    </w:pPr>
    <w:rPr>
      <w:noProof/>
      <w:sz w:val="18"/>
    </w:rPr>
  </w:style>
  <w:style w:type="paragraph" w:styleId="TDC6">
    <w:name w:val="toc 6"/>
    <w:basedOn w:val="Normal"/>
    <w:next w:val="Normal"/>
    <w:autoRedefine/>
    <w:semiHidden/>
    <w:rsid w:val="001B27FC"/>
    <w:pPr>
      <w:spacing w:before="0" w:after="0"/>
      <w:ind w:left="1100"/>
      <w:jc w:val="left"/>
    </w:pPr>
    <w:rPr>
      <w:sz w:val="18"/>
    </w:rPr>
  </w:style>
  <w:style w:type="paragraph" w:styleId="TDC7">
    <w:name w:val="toc 7"/>
    <w:basedOn w:val="Normal"/>
    <w:next w:val="Normal"/>
    <w:autoRedefine/>
    <w:semiHidden/>
    <w:rsid w:val="001B27FC"/>
    <w:pPr>
      <w:spacing w:before="0" w:after="0"/>
      <w:ind w:left="1320"/>
      <w:jc w:val="left"/>
    </w:pPr>
    <w:rPr>
      <w:sz w:val="18"/>
    </w:rPr>
  </w:style>
  <w:style w:type="paragraph" w:styleId="TDC8">
    <w:name w:val="toc 8"/>
    <w:basedOn w:val="Normal"/>
    <w:next w:val="Normal"/>
    <w:autoRedefine/>
    <w:semiHidden/>
    <w:rsid w:val="001B27FC"/>
    <w:pPr>
      <w:spacing w:before="0" w:after="0"/>
      <w:ind w:left="1540"/>
      <w:jc w:val="left"/>
    </w:pPr>
    <w:rPr>
      <w:sz w:val="18"/>
    </w:rPr>
  </w:style>
  <w:style w:type="paragraph" w:styleId="TDC9">
    <w:name w:val="toc 9"/>
    <w:basedOn w:val="Normal"/>
    <w:next w:val="Normal"/>
    <w:autoRedefine/>
    <w:semiHidden/>
    <w:rsid w:val="001B27FC"/>
    <w:pPr>
      <w:spacing w:before="0" w:after="0"/>
      <w:ind w:left="1760"/>
      <w:jc w:val="left"/>
    </w:pPr>
    <w:rPr>
      <w:sz w:val="18"/>
    </w:rPr>
  </w:style>
  <w:style w:type="character" w:styleId="Refdenotaalpie">
    <w:name w:val="footnote reference"/>
    <w:semiHidden/>
    <w:rsid w:val="001B27FC"/>
    <w:rPr>
      <w:rFonts w:ascii="Times New Roman" w:hAnsi="Times New Roman"/>
      <w:dstrike w:val="0"/>
      <w:color w:val="auto"/>
      <w:sz w:val="18"/>
      <w:vertAlign w:val="superscript"/>
    </w:rPr>
  </w:style>
  <w:style w:type="paragraph" w:customStyle="1" w:styleId="Listaguiones">
    <w:name w:val="Lista guiones"/>
    <w:basedOn w:val="Normal"/>
    <w:next w:val="Normal"/>
    <w:link w:val="ListaguionesCar"/>
    <w:semiHidden/>
    <w:unhideWhenUsed/>
    <w:rsid w:val="001B27FC"/>
    <w:pPr>
      <w:keepLines/>
      <w:spacing w:after="0"/>
    </w:pPr>
  </w:style>
  <w:style w:type="paragraph" w:customStyle="1" w:styleId="Listanumrica">
    <w:name w:val="Lista numérica"/>
    <w:basedOn w:val="Normal"/>
    <w:next w:val="Normal"/>
    <w:semiHidden/>
    <w:unhideWhenUsed/>
    <w:rsid w:val="001B27FC"/>
    <w:pPr>
      <w:keepLines/>
      <w:numPr>
        <w:numId w:val="1"/>
      </w:numPr>
    </w:pPr>
  </w:style>
  <w:style w:type="paragraph" w:customStyle="1" w:styleId="Listaletrada">
    <w:name w:val="Lista letrada"/>
    <w:basedOn w:val="Normal"/>
    <w:next w:val="Normal"/>
    <w:semiHidden/>
    <w:unhideWhenUsed/>
    <w:rsid w:val="001B27FC"/>
    <w:pPr>
      <w:tabs>
        <w:tab w:val="num" w:pos="851"/>
      </w:tabs>
      <w:ind w:left="851" w:hanging="494"/>
    </w:pPr>
  </w:style>
  <w:style w:type="character" w:styleId="Nmerodepgina">
    <w:name w:val="page number"/>
    <w:basedOn w:val="Fuentedeprrafopredeter"/>
    <w:rsid w:val="001B27FC"/>
  </w:style>
  <w:style w:type="character" w:styleId="Hipervnculo">
    <w:name w:val="Hyperlink"/>
    <w:uiPriority w:val="99"/>
    <w:rsid w:val="001B27FC"/>
    <w:rPr>
      <w:color w:val="0000FF"/>
      <w:u w:val="single"/>
    </w:rPr>
  </w:style>
  <w:style w:type="paragraph" w:customStyle="1" w:styleId="Continuacin">
    <w:name w:val="Continuación"/>
    <w:basedOn w:val="Normal"/>
    <w:next w:val="Normal"/>
    <w:semiHidden/>
    <w:unhideWhenUsed/>
    <w:rsid w:val="001B27FC"/>
    <w:pPr>
      <w:ind w:left="357"/>
    </w:pPr>
  </w:style>
  <w:style w:type="paragraph" w:styleId="Cita">
    <w:name w:val="Quote"/>
    <w:basedOn w:val="Normal"/>
    <w:next w:val="Normal"/>
    <w:link w:val="CitaCar"/>
    <w:semiHidden/>
    <w:unhideWhenUsed/>
    <w:qFormat/>
    <w:rsid w:val="009502EC"/>
    <w:pPr>
      <w:keepLines/>
      <w:ind w:left="567" w:right="566"/>
    </w:pPr>
    <w:rPr>
      <w:i/>
    </w:rPr>
  </w:style>
  <w:style w:type="paragraph" w:customStyle="1" w:styleId="Esquema">
    <w:name w:val="Esquema"/>
    <w:basedOn w:val="Tablascuadrosygrficos"/>
    <w:semiHidden/>
    <w:unhideWhenUsed/>
    <w:rsid w:val="001B27FC"/>
    <w:pPr>
      <w:spacing w:line="240" w:lineRule="exact"/>
    </w:pPr>
    <w:rPr>
      <w:sz w:val="20"/>
    </w:rPr>
  </w:style>
  <w:style w:type="paragraph" w:customStyle="1" w:styleId="Listaguiones2">
    <w:name w:val="Lista guiones2"/>
    <w:basedOn w:val="Listaguiones"/>
    <w:next w:val="Normal"/>
    <w:semiHidden/>
    <w:unhideWhenUsed/>
    <w:rsid w:val="001B27FC"/>
    <w:pPr>
      <w:ind w:left="624" w:hanging="267"/>
    </w:pPr>
  </w:style>
  <w:style w:type="character" w:styleId="Hipervnculovisitado">
    <w:name w:val="FollowedHyperlink"/>
    <w:semiHidden/>
    <w:unhideWhenUsed/>
    <w:rsid w:val="001B27FC"/>
    <w:rPr>
      <w:color w:val="800080"/>
      <w:u w:val="single"/>
    </w:rPr>
  </w:style>
  <w:style w:type="paragraph" w:styleId="Ttulo">
    <w:name w:val="Title"/>
    <w:basedOn w:val="Normal"/>
    <w:link w:val="TtuloCar"/>
    <w:autoRedefine/>
    <w:qFormat/>
    <w:rsid w:val="00CB0562"/>
    <w:pPr>
      <w:keepNext/>
      <w:keepLines/>
      <w:shd w:val="clear" w:color="auto" w:fill="5CACE2"/>
      <w:spacing w:before="5040" w:after="0"/>
      <w:jc w:val="center"/>
    </w:pPr>
    <w:rPr>
      <w:b/>
      <w:smallCaps/>
      <w:color w:val="FFFFFF" w:themeColor="background1"/>
      <w:sz w:val="40"/>
      <w:szCs w:val="20"/>
      <w:lang w:val="es-ES_tradnl"/>
    </w:rPr>
  </w:style>
  <w:style w:type="paragraph" w:styleId="Tabladeilustraciones">
    <w:name w:val="table of figures"/>
    <w:basedOn w:val="Normal"/>
    <w:next w:val="Normal"/>
    <w:semiHidden/>
    <w:rsid w:val="001B27FC"/>
    <w:pPr>
      <w:tabs>
        <w:tab w:val="right" w:leader="dot" w:pos="7643"/>
      </w:tabs>
      <w:spacing w:before="0" w:after="0"/>
      <w:ind w:left="442" w:hanging="442"/>
    </w:pPr>
    <w:rPr>
      <w:sz w:val="20"/>
      <w:szCs w:val="20"/>
    </w:rPr>
  </w:style>
  <w:style w:type="character" w:customStyle="1" w:styleId="EncabezadoCar">
    <w:name w:val="Encabezado Car"/>
    <w:link w:val="Encabezado"/>
    <w:uiPriority w:val="99"/>
    <w:rsid w:val="00FB12D5"/>
    <w:rPr>
      <w:rFonts w:ascii="Arial Narrow" w:hAnsi="Arial Narrow"/>
      <w:i/>
      <w:color w:val="629AC8"/>
      <w:szCs w:val="24"/>
    </w:rPr>
  </w:style>
  <w:style w:type="paragraph" w:styleId="Textodeglobo">
    <w:name w:val="Balloon Text"/>
    <w:basedOn w:val="Normal"/>
    <w:link w:val="TextodegloboCar"/>
    <w:uiPriority w:val="99"/>
    <w:semiHidden/>
    <w:unhideWhenUsed/>
    <w:rsid w:val="00D72165"/>
    <w:pPr>
      <w:spacing w:before="0" w:after="0"/>
    </w:pPr>
    <w:rPr>
      <w:rFonts w:ascii="Tahoma" w:hAnsi="Tahoma" w:cs="Tahoma"/>
      <w:sz w:val="16"/>
      <w:szCs w:val="16"/>
    </w:rPr>
  </w:style>
  <w:style w:type="character" w:customStyle="1" w:styleId="TextodegloboCar">
    <w:name w:val="Texto de globo Car"/>
    <w:link w:val="Textodeglobo"/>
    <w:uiPriority w:val="99"/>
    <w:semiHidden/>
    <w:rsid w:val="00D72165"/>
    <w:rPr>
      <w:rFonts w:ascii="Tahoma" w:hAnsi="Tahoma" w:cs="Tahoma"/>
      <w:sz w:val="16"/>
      <w:szCs w:val="16"/>
    </w:rPr>
  </w:style>
  <w:style w:type="character" w:styleId="Referenciasutil">
    <w:name w:val="Subtle Reference"/>
    <w:uiPriority w:val="31"/>
    <w:qFormat/>
    <w:rsid w:val="00B81C9C"/>
    <w:rPr>
      <w:rFonts w:ascii="Arial Narrow" w:hAnsi="Arial Narrow"/>
      <w:caps w:val="0"/>
      <w:smallCaps/>
      <w:color w:val="5CACE2"/>
      <w:sz w:val="20"/>
      <w:u w:val="single" w:color="5CACE2"/>
    </w:rPr>
  </w:style>
  <w:style w:type="character" w:styleId="Referenciaintensa">
    <w:name w:val="Intense Reference"/>
    <w:uiPriority w:val="32"/>
    <w:qFormat/>
    <w:rsid w:val="00B81C9C"/>
    <w:rPr>
      <w:rFonts w:ascii="Arial Narrow" w:hAnsi="Arial Narrow"/>
      <w:b/>
      <w:bCs/>
      <w:caps w:val="0"/>
      <w:smallCaps/>
      <w:color w:val="5CACE2"/>
      <w:spacing w:val="5"/>
      <w:sz w:val="22"/>
      <w:u w:val="single" w:color="5CACE2"/>
    </w:rPr>
  </w:style>
  <w:style w:type="character" w:styleId="Textoennegrita">
    <w:name w:val="Strong"/>
    <w:uiPriority w:val="22"/>
    <w:qFormat/>
    <w:rsid w:val="00CC38F5"/>
    <w:rPr>
      <w:rFonts w:ascii="Arial Narrow" w:hAnsi="Arial Narrow"/>
      <w:b/>
      <w:bCs/>
      <w:color w:val="5CACE2"/>
      <w:sz w:val="22"/>
    </w:rPr>
  </w:style>
  <w:style w:type="paragraph" w:customStyle="1" w:styleId="Red2Red">
    <w:name w:val="Red2Red"/>
    <w:basedOn w:val="Normal"/>
    <w:link w:val="Red2RedCar"/>
    <w:qFormat/>
    <w:rsid w:val="0068341F"/>
    <w:rPr>
      <w:color w:val="5CACE2"/>
    </w:rPr>
  </w:style>
  <w:style w:type="paragraph" w:styleId="Citadestacada">
    <w:name w:val="Intense Quote"/>
    <w:basedOn w:val="Normal"/>
    <w:next w:val="Normal"/>
    <w:link w:val="CitadestacadaCar"/>
    <w:uiPriority w:val="30"/>
    <w:qFormat/>
    <w:rsid w:val="009502EC"/>
    <w:pPr>
      <w:pBdr>
        <w:bottom w:val="single" w:sz="4" w:space="4" w:color="4F81BD"/>
      </w:pBdr>
      <w:spacing w:before="200" w:after="280"/>
      <w:ind w:left="936" w:right="936"/>
    </w:pPr>
    <w:rPr>
      <w:b/>
      <w:bCs/>
      <w:i/>
      <w:iCs/>
      <w:u w:val="single"/>
    </w:rPr>
  </w:style>
  <w:style w:type="character" w:customStyle="1" w:styleId="Red2RedCar">
    <w:name w:val="Red2Red Car"/>
    <w:link w:val="Red2Red"/>
    <w:rsid w:val="0068341F"/>
    <w:rPr>
      <w:rFonts w:ascii="Arial Narrow" w:hAnsi="Arial Narrow"/>
      <w:color w:val="5CACE2"/>
      <w:sz w:val="24"/>
      <w:szCs w:val="24"/>
    </w:rPr>
  </w:style>
  <w:style w:type="character" w:customStyle="1" w:styleId="CitadestacadaCar">
    <w:name w:val="Cita destacada Car"/>
    <w:link w:val="Citadestacada"/>
    <w:uiPriority w:val="30"/>
    <w:rsid w:val="009502EC"/>
    <w:rPr>
      <w:rFonts w:ascii="Arial Narrow" w:hAnsi="Arial Narrow"/>
      <w:b/>
      <w:bCs/>
      <w:i/>
      <w:iCs/>
      <w:sz w:val="22"/>
      <w:szCs w:val="24"/>
      <w:u w:val="single"/>
    </w:rPr>
  </w:style>
  <w:style w:type="character" w:customStyle="1" w:styleId="Ttulo1Car">
    <w:name w:val="Título 1 Car"/>
    <w:link w:val="Ttulo1"/>
    <w:rsid w:val="001F1891"/>
    <w:rPr>
      <w:rFonts w:ascii="Arial Narrow" w:hAnsi="Arial Narrow"/>
      <w:b/>
      <w:smallCaps/>
      <w:color w:val="FFFFFF" w:themeColor="background1"/>
      <w:kern w:val="28"/>
      <w:sz w:val="30"/>
      <w:shd w:val="clear" w:color="auto" w:fill="5CACE2"/>
    </w:rPr>
  </w:style>
  <w:style w:type="character" w:customStyle="1" w:styleId="Ttulo2Car">
    <w:name w:val="Título 2 Car"/>
    <w:link w:val="Ttulo2"/>
    <w:rsid w:val="001F1891"/>
    <w:rPr>
      <w:rFonts w:ascii="Arial Narrow" w:hAnsi="Arial Narrow"/>
      <w:sz w:val="28"/>
      <w:szCs w:val="22"/>
      <w:shd w:val="clear" w:color="auto" w:fill="FFFFFF" w:themeFill="background1"/>
    </w:rPr>
  </w:style>
  <w:style w:type="character" w:customStyle="1" w:styleId="Ttulo3Car">
    <w:name w:val="Título 3 Car"/>
    <w:link w:val="Ttulo3"/>
    <w:rsid w:val="00D51F38"/>
    <w:rPr>
      <w:rFonts w:ascii="Arial Narrow" w:hAnsi="Arial Narrow"/>
      <w:b/>
      <w:color w:val="5CACE2"/>
      <w:sz w:val="26"/>
      <w:szCs w:val="22"/>
    </w:rPr>
  </w:style>
  <w:style w:type="character" w:customStyle="1" w:styleId="Ttulo4Car">
    <w:name w:val="Título 4 Car"/>
    <w:link w:val="Ttulo4"/>
    <w:rsid w:val="00D51F38"/>
    <w:rPr>
      <w:rFonts w:ascii="Arial Narrow" w:hAnsi="Arial Narrow"/>
      <w:b/>
      <w:color w:val="5CACE2"/>
      <w:sz w:val="24"/>
    </w:rPr>
  </w:style>
  <w:style w:type="character" w:customStyle="1" w:styleId="Ttulo5Car">
    <w:name w:val="Título 5 Car"/>
    <w:link w:val="Ttulo5"/>
    <w:rsid w:val="00D51F38"/>
    <w:rPr>
      <w:rFonts w:ascii="Arial Narrow" w:hAnsi="Arial Narrow"/>
      <w:b/>
      <w:color w:val="5CACE2"/>
      <w:sz w:val="24"/>
    </w:rPr>
  </w:style>
  <w:style w:type="character" w:customStyle="1" w:styleId="Ttulo6Car">
    <w:name w:val="Título 6 Car"/>
    <w:link w:val="Ttulo6"/>
    <w:rsid w:val="00D51F38"/>
    <w:rPr>
      <w:rFonts w:ascii="Arial Narrow" w:hAnsi="Arial Narrow"/>
      <w:i/>
      <w:sz w:val="24"/>
    </w:rPr>
  </w:style>
  <w:style w:type="character" w:customStyle="1" w:styleId="Ttulo7Car">
    <w:name w:val="Título 7 Car"/>
    <w:link w:val="Ttulo7"/>
    <w:semiHidden/>
    <w:rsid w:val="00B465B4"/>
    <w:rPr>
      <w:rFonts w:ascii="Arial Narrow" w:hAnsi="Arial Narrow"/>
      <w:sz w:val="24"/>
    </w:rPr>
  </w:style>
  <w:style w:type="character" w:customStyle="1" w:styleId="Ttulo8Car">
    <w:name w:val="Título 8 Car"/>
    <w:link w:val="Ttulo8"/>
    <w:semiHidden/>
    <w:rsid w:val="00B465B4"/>
    <w:rPr>
      <w:rFonts w:ascii="Arial Narrow" w:hAnsi="Arial Narrow"/>
      <w:i/>
      <w:sz w:val="24"/>
    </w:rPr>
  </w:style>
  <w:style w:type="character" w:customStyle="1" w:styleId="Ttulo9Car">
    <w:name w:val="Título 9 Car"/>
    <w:aliases w:val="Título de Índice Car"/>
    <w:link w:val="Ttulo9"/>
    <w:semiHidden/>
    <w:rsid w:val="00B465B4"/>
    <w:rPr>
      <w:rFonts w:ascii="Arial Narrow" w:hAnsi="Arial Narrow"/>
      <w:b/>
      <w:color w:val="5CACE2"/>
      <w:sz w:val="28"/>
      <w:szCs w:val="22"/>
    </w:rPr>
  </w:style>
  <w:style w:type="character" w:customStyle="1" w:styleId="TtuloCar">
    <w:name w:val="Título Car"/>
    <w:link w:val="Ttulo"/>
    <w:rsid w:val="00CB0562"/>
    <w:rPr>
      <w:rFonts w:ascii="Arial Narrow" w:hAnsi="Arial Narrow"/>
      <w:b/>
      <w:smallCaps/>
      <w:color w:val="FFFFFF" w:themeColor="background1"/>
      <w:sz w:val="40"/>
      <w:shd w:val="clear" w:color="auto" w:fill="5CACE2"/>
      <w:lang w:val="es-ES_tradnl"/>
    </w:rPr>
  </w:style>
  <w:style w:type="paragraph" w:styleId="Subttulo">
    <w:name w:val="Subtitle"/>
    <w:basedOn w:val="Normal"/>
    <w:next w:val="Normal"/>
    <w:link w:val="SubttuloCar"/>
    <w:uiPriority w:val="11"/>
    <w:qFormat/>
    <w:rsid w:val="009502EC"/>
    <w:pPr>
      <w:spacing w:after="60"/>
      <w:jc w:val="center"/>
      <w:outlineLvl w:val="1"/>
    </w:pPr>
    <w:rPr>
      <w:rFonts w:ascii="Cambria" w:hAnsi="Cambria"/>
    </w:rPr>
  </w:style>
  <w:style w:type="character" w:customStyle="1" w:styleId="SubttuloCar">
    <w:name w:val="Subtítulo Car"/>
    <w:link w:val="Subttulo"/>
    <w:uiPriority w:val="11"/>
    <w:rsid w:val="009502EC"/>
    <w:rPr>
      <w:rFonts w:ascii="Cambria" w:eastAsia="Times New Roman" w:hAnsi="Cambria" w:cs="Times New Roman"/>
      <w:sz w:val="24"/>
      <w:szCs w:val="24"/>
    </w:rPr>
  </w:style>
  <w:style w:type="character" w:styleId="nfasis">
    <w:name w:val="Emphasis"/>
    <w:uiPriority w:val="20"/>
    <w:qFormat/>
    <w:rsid w:val="00B81C9C"/>
    <w:rPr>
      <w:rFonts w:ascii="Arial Narrow" w:hAnsi="Arial Narrow"/>
      <w:i/>
      <w:iCs/>
    </w:rPr>
  </w:style>
  <w:style w:type="paragraph" w:styleId="Sinespaciado">
    <w:name w:val="No Spacing"/>
    <w:basedOn w:val="Normal"/>
    <w:link w:val="SinespaciadoCar"/>
    <w:uiPriority w:val="1"/>
    <w:qFormat/>
    <w:rsid w:val="009502EC"/>
    <w:pPr>
      <w:spacing w:before="0" w:after="0"/>
    </w:pPr>
  </w:style>
  <w:style w:type="character" w:customStyle="1" w:styleId="SinespaciadoCar">
    <w:name w:val="Sin espaciado Car"/>
    <w:link w:val="Sinespaciado"/>
    <w:uiPriority w:val="1"/>
    <w:rsid w:val="009502EC"/>
    <w:rPr>
      <w:rFonts w:ascii="Arial Narrow" w:hAnsi="Arial Narrow"/>
      <w:sz w:val="22"/>
      <w:szCs w:val="24"/>
    </w:rPr>
  </w:style>
  <w:style w:type="paragraph" w:styleId="Prrafodelista">
    <w:name w:val="List Paragraph"/>
    <w:basedOn w:val="Normal"/>
    <w:uiPriority w:val="34"/>
    <w:qFormat/>
    <w:rsid w:val="001F1891"/>
    <w:pPr>
      <w:ind w:left="709"/>
    </w:pPr>
  </w:style>
  <w:style w:type="character" w:customStyle="1" w:styleId="CitaCar">
    <w:name w:val="Cita Car"/>
    <w:link w:val="Cita"/>
    <w:semiHidden/>
    <w:rsid w:val="00B465B4"/>
    <w:rPr>
      <w:rFonts w:ascii="Arial Narrow" w:hAnsi="Arial Narrow"/>
      <w:i/>
      <w:sz w:val="24"/>
      <w:szCs w:val="24"/>
    </w:rPr>
  </w:style>
  <w:style w:type="character" w:styleId="nfasissutil">
    <w:name w:val="Subtle Emphasis"/>
    <w:uiPriority w:val="19"/>
    <w:qFormat/>
    <w:rsid w:val="009502EC"/>
    <w:rPr>
      <w:i/>
      <w:iCs/>
      <w:color w:val="808080"/>
    </w:rPr>
  </w:style>
  <w:style w:type="character" w:styleId="nfasisintenso">
    <w:name w:val="Intense Emphasis"/>
    <w:uiPriority w:val="21"/>
    <w:qFormat/>
    <w:rsid w:val="00CC38F5"/>
    <w:rPr>
      <w:rFonts w:ascii="Arial Narrow" w:hAnsi="Arial Narrow"/>
      <w:b/>
      <w:bCs/>
      <w:i/>
      <w:iCs/>
      <w:color w:val="5CACE2"/>
      <w:sz w:val="22"/>
    </w:rPr>
  </w:style>
  <w:style w:type="character" w:styleId="Ttulodellibro">
    <w:name w:val="Book Title"/>
    <w:uiPriority w:val="33"/>
    <w:qFormat/>
    <w:rsid w:val="00B81C9C"/>
    <w:rPr>
      <w:rFonts w:ascii="Arial Narrow" w:hAnsi="Arial Narrow"/>
      <w:b/>
      <w:bCs/>
      <w:smallCaps/>
      <w:spacing w:val="5"/>
    </w:rPr>
  </w:style>
  <w:style w:type="paragraph" w:styleId="TtulodeTDC">
    <w:name w:val="TOC Heading"/>
    <w:basedOn w:val="Ttulo1"/>
    <w:next w:val="Normal"/>
    <w:uiPriority w:val="39"/>
    <w:semiHidden/>
    <w:unhideWhenUsed/>
    <w:qFormat/>
    <w:rsid w:val="009502EC"/>
    <w:pPr>
      <w:keepLines w:val="0"/>
      <w:pageBreakBefore w:val="0"/>
      <w:numPr>
        <w:numId w:val="0"/>
      </w:numPr>
      <w:shd w:val="clear" w:color="auto" w:fill="auto"/>
      <w:tabs>
        <w:tab w:val="clear" w:pos="709"/>
      </w:tabs>
      <w:spacing w:before="240" w:after="60"/>
      <w:jc w:val="both"/>
      <w:outlineLvl w:val="9"/>
    </w:pPr>
    <w:rPr>
      <w:rFonts w:ascii="Cambria" w:hAnsi="Cambria"/>
      <w:bCs/>
      <w:smallCaps w:val="0"/>
      <w:kern w:val="32"/>
      <w:sz w:val="32"/>
      <w:szCs w:val="32"/>
    </w:rPr>
  </w:style>
  <w:style w:type="table" w:styleId="Tablaconcuadrcula">
    <w:name w:val="Table Grid"/>
    <w:basedOn w:val="Tablanormal"/>
    <w:uiPriority w:val="59"/>
    <w:rsid w:val="00100A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link w:val="Piedepgina"/>
    <w:uiPriority w:val="99"/>
    <w:rsid w:val="0054307A"/>
    <w:rPr>
      <w:rFonts w:ascii="Arial Narrow" w:hAnsi="Arial Narrow"/>
      <w:sz w:val="18"/>
      <w:szCs w:val="24"/>
    </w:rPr>
  </w:style>
  <w:style w:type="character" w:customStyle="1" w:styleId="BolosCar">
    <w:name w:val="Bolos Car"/>
    <w:link w:val="Bolos"/>
    <w:uiPriority w:val="1"/>
    <w:rsid w:val="00B465B4"/>
    <w:rPr>
      <w:rFonts w:ascii="Arial Narrow" w:hAnsi="Arial Narrow"/>
      <w:sz w:val="24"/>
      <w:szCs w:val="24"/>
    </w:rPr>
  </w:style>
  <w:style w:type="paragraph" w:styleId="Sangranormal">
    <w:name w:val="Normal Indent"/>
    <w:aliases w:val=" Char Char Car Car, Char Char Car Car Car Car Car Car Car, Char Char Car Car Car Car Car Car Car Car Car Car, Char Char Car Car Car Car Car Car Car Car,Char Char Car Car,Char Char Car Car Car Car Car Car Car"/>
    <w:basedOn w:val="Normal"/>
    <w:rsid w:val="00B41688"/>
    <w:pPr>
      <w:ind w:left="720"/>
    </w:pPr>
    <w:rPr>
      <w:lang w:val="es-ES_tradnl" w:eastAsia="zh-CN"/>
    </w:rPr>
  </w:style>
  <w:style w:type="character" w:customStyle="1" w:styleId="ListaguionesCar">
    <w:name w:val="Lista guiones Car"/>
    <w:link w:val="Listaguiones"/>
    <w:semiHidden/>
    <w:rsid w:val="00B465B4"/>
    <w:rPr>
      <w:rFonts w:ascii="Arial Narrow" w:hAnsi="Arial Narrow"/>
      <w:sz w:val="24"/>
      <w:szCs w:val="24"/>
    </w:rPr>
  </w:style>
  <w:style w:type="table" w:customStyle="1" w:styleId="Sombreadoclaro-nfasis11">
    <w:name w:val="Sombreado claro - Énfasis 11"/>
    <w:basedOn w:val="Tablanormal"/>
    <w:uiPriority w:val="60"/>
    <w:rsid w:val="00E85E8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A331B2"/>
    <w:pPr>
      <w:autoSpaceDE w:val="0"/>
      <w:autoSpaceDN w:val="0"/>
      <w:adjustRightInd w:val="0"/>
    </w:pPr>
    <w:rPr>
      <w:rFonts w:ascii="Arial" w:hAnsi="Arial" w:cs="Arial"/>
      <w:color w:val="000000"/>
      <w:sz w:val="24"/>
      <w:szCs w:val="24"/>
    </w:rPr>
  </w:style>
  <w:style w:type="paragraph" w:customStyle="1" w:styleId="NormTtulo5y6">
    <w:name w:val="Norm.Título 5 y 6"/>
    <w:uiPriority w:val="1"/>
    <w:qFormat/>
    <w:rsid w:val="007B2C22"/>
    <w:pPr>
      <w:spacing w:before="240" w:after="120"/>
      <w:ind w:left="1418"/>
    </w:pPr>
    <w:rPr>
      <w:rFonts w:ascii="Arial Narrow" w:hAnsi="Arial Narrow"/>
      <w:sz w:val="24"/>
      <w:szCs w:val="24"/>
    </w:rPr>
  </w:style>
  <w:style w:type="character" w:styleId="Refdecomentario">
    <w:name w:val="annotation reference"/>
    <w:basedOn w:val="Fuentedeprrafopredeter"/>
    <w:uiPriority w:val="99"/>
    <w:semiHidden/>
    <w:unhideWhenUsed/>
    <w:rsid w:val="00AF6289"/>
    <w:rPr>
      <w:sz w:val="16"/>
      <w:szCs w:val="16"/>
    </w:rPr>
  </w:style>
  <w:style w:type="paragraph" w:styleId="Textocomentario">
    <w:name w:val="annotation text"/>
    <w:basedOn w:val="Normal"/>
    <w:link w:val="TextocomentarioCar"/>
    <w:uiPriority w:val="99"/>
    <w:unhideWhenUsed/>
    <w:rsid w:val="00AF6289"/>
    <w:rPr>
      <w:sz w:val="20"/>
      <w:szCs w:val="20"/>
    </w:rPr>
  </w:style>
  <w:style w:type="character" w:customStyle="1" w:styleId="TextocomentarioCar">
    <w:name w:val="Texto comentario Car"/>
    <w:basedOn w:val="Fuentedeprrafopredeter"/>
    <w:link w:val="Textocomentario"/>
    <w:uiPriority w:val="99"/>
    <w:rsid w:val="00AF6289"/>
    <w:rPr>
      <w:rFonts w:ascii="Arial Narrow" w:hAnsi="Arial Narrow"/>
    </w:rPr>
  </w:style>
  <w:style w:type="paragraph" w:styleId="Asuntodelcomentario">
    <w:name w:val="annotation subject"/>
    <w:basedOn w:val="Textocomentario"/>
    <w:next w:val="Textocomentario"/>
    <w:link w:val="AsuntodelcomentarioCar"/>
    <w:uiPriority w:val="99"/>
    <w:semiHidden/>
    <w:unhideWhenUsed/>
    <w:rsid w:val="00AF6289"/>
    <w:rPr>
      <w:b/>
      <w:bCs/>
    </w:rPr>
  </w:style>
  <w:style w:type="character" w:customStyle="1" w:styleId="AsuntodelcomentarioCar">
    <w:name w:val="Asunto del comentario Car"/>
    <w:basedOn w:val="TextocomentarioCar"/>
    <w:link w:val="Asuntodelcomentario"/>
    <w:uiPriority w:val="99"/>
    <w:semiHidden/>
    <w:rsid w:val="00AF6289"/>
    <w:rPr>
      <w:rFonts w:ascii="Arial Narrow" w:hAnsi="Arial Narro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F1"/>
    <w:pPr>
      <w:spacing w:before="240" w:after="240"/>
      <w:jc w:val="both"/>
    </w:pPr>
    <w:rPr>
      <w:rFonts w:ascii="Arial Narrow" w:hAnsi="Arial Narrow"/>
      <w:sz w:val="24"/>
      <w:szCs w:val="24"/>
    </w:rPr>
  </w:style>
  <w:style w:type="paragraph" w:styleId="Ttulo1">
    <w:name w:val="heading 1"/>
    <w:basedOn w:val="Normal"/>
    <w:next w:val="Normal"/>
    <w:link w:val="Ttulo1Car"/>
    <w:qFormat/>
    <w:rsid w:val="00241A78"/>
    <w:pPr>
      <w:keepNext/>
      <w:keepLines/>
      <w:pageBreakBefore/>
      <w:numPr>
        <w:numId w:val="26"/>
      </w:numPr>
      <w:pBdr>
        <w:top w:val="single" w:sz="4" w:space="1" w:color="6798C1"/>
        <w:left w:val="single" w:sz="4" w:space="4" w:color="6798C1"/>
        <w:bottom w:val="single" w:sz="4" w:space="1" w:color="6798C1"/>
        <w:right w:val="single" w:sz="4" w:space="4" w:color="6798C1"/>
      </w:pBdr>
      <w:shd w:val="clear" w:color="auto" w:fill="5CACE2"/>
      <w:tabs>
        <w:tab w:val="left" w:pos="709"/>
      </w:tabs>
      <w:spacing w:before="0"/>
      <w:jc w:val="left"/>
      <w:outlineLvl w:val="0"/>
    </w:pPr>
    <w:rPr>
      <w:b/>
      <w:smallCaps/>
      <w:color w:val="FFFFFF" w:themeColor="background1"/>
      <w:kern w:val="28"/>
      <w:sz w:val="30"/>
      <w:szCs w:val="20"/>
    </w:rPr>
  </w:style>
  <w:style w:type="paragraph" w:styleId="Ttulo2">
    <w:name w:val="heading 2"/>
    <w:basedOn w:val="Normal"/>
    <w:next w:val="Normal"/>
    <w:link w:val="Ttulo2Car"/>
    <w:qFormat/>
    <w:rsid w:val="00241A78"/>
    <w:pPr>
      <w:keepNext/>
      <w:numPr>
        <w:ilvl w:val="1"/>
        <w:numId w:val="26"/>
      </w:numPr>
      <w:pBdr>
        <w:top w:val="single" w:sz="4" w:space="1" w:color="5CACE2"/>
        <w:left w:val="single" w:sz="4" w:space="4" w:color="5CACE2"/>
        <w:bottom w:val="single" w:sz="4" w:space="1" w:color="5CACE2"/>
        <w:right w:val="single" w:sz="4" w:space="4" w:color="5CACE2"/>
      </w:pBdr>
      <w:shd w:val="clear" w:color="auto" w:fill="FFFFFF" w:themeFill="background1"/>
      <w:spacing w:after="120"/>
      <w:jc w:val="left"/>
      <w:outlineLvl w:val="1"/>
    </w:pPr>
    <w:rPr>
      <w:sz w:val="28"/>
      <w:szCs w:val="22"/>
    </w:rPr>
  </w:style>
  <w:style w:type="paragraph" w:styleId="Ttulo3">
    <w:name w:val="heading 3"/>
    <w:basedOn w:val="Normal"/>
    <w:next w:val="Normal"/>
    <w:link w:val="Ttulo3Car"/>
    <w:qFormat/>
    <w:rsid w:val="00D51F38"/>
    <w:pPr>
      <w:keepNext/>
      <w:numPr>
        <w:ilvl w:val="2"/>
        <w:numId w:val="26"/>
      </w:numPr>
      <w:spacing w:after="120"/>
      <w:jc w:val="left"/>
      <w:outlineLvl w:val="2"/>
    </w:pPr>
    <w:rPr>
      <w:b/>
      <w:color w:val="5CACE2"/>
      <w:sz w:val="26"/>
      <w:szCs w:val="22"/>
    </w:rPr>
  </w:style>
  <w:style w:type="paragraph" w:styleId="Ttulo4">
    <w:name w:val="heading 4"/>
    <w:basedOn w:val="Normal"/>
    <w:next w:val="Normal"/>
    <w:link w:val="Ttulo4Car"/>
    <w:qFormat/>
    <w:rsid w:val="00D51F38"/>
    <w:pPr>
      <w:keepNext/>
      <w:numPr>
        <w:ilvl w:val="3"/>
        <w:numId w:val="26"/>
      </w:numPr>
      <w:pBdr>
        <w:top w:val="single" w:sz="4" w:space="1" w:color="5CACE2"/>
        <w:left w:val="single" w:sz="4" w:space="4" w:color="5CACE2"/>
      </w:pBdr>
      <w:spacing w:after="120"/>
      <w:jc w:val="left"/>
      <w:outlineLvl w:val="3"/>
    </w:pPr>
    <w:rPr>
      <w:b/>
      <w:color w:val="5CACE2"/>
      <w:szCs w:val="20"/>
    </w:rPr>
  </w:style>
  <w:style w:type="paragraph" w:styleId="Ttulo5">
    <w:name w:val="heading 5"/>
    <w:basedOn w:val="Ttulo4"/>
    <w:next w:val="Normal"/>
    <w:link w:val="Ttulo5Car"/>
    <w:qFormat/>
    <w:rsid w:val="00D51F38"/>
    <w:pPr>
      <w:numPr>
        <w:ilvl w:val="4"/>
      </w:numPr>
      <w:ind w:left="2138"/>
      <w:outlineLvl w:val="4"/>
    </w:pPr>
  </w:style>
  <w:style w:type="paragraph" w:styleId="Ttulo6">
    <w:name w:val="heading 6"/>
    <w:basedOn w:val="Normal"/>
    <w:next w:val="Normal"/>
    <w:link w:val="Ttulo6Car"/>
    <w:autoRedefine/>
    <w:qFormat/>
    <w:rsid w:val="00D51F38"/>
    <w:pPr>
      <w:numPr>
        <w:ilvl w:val="5"/>
        <w:numId w:val="26"/>
      </w:numPr>
      <w:spacing w:after="120"/>
      <w:ind w:left="1418" w:firstLine="0"/>
      <w:outlineLvl w:val="5"/>
    </w:pPr>
    <w:rPr>
      <w:i/>
      <w:szCs w:val="20"/>
    </w:rPr>
  </w:style>
  <w:style w:type="paragraph" w:styleId="Ttulo7">
    <w:name w:val="heading 7"/>
    <w:basedOn w:val="Normal"/>
    <w:next w:val="Normal"/>
    <w:link w:val="Ttulo7Car"/>
    <w:autoRedefine/>
    <w:semiHidden/>
    <w:unhideWhenUsed/>
    <w:qFormat/>
    <w:rsid w:val="004A2A0A"/>
    <w:pPr>
      <w:numPr>
        <w:ilvl w:val="6"/>
        <w:numId w:val="26"/>
      </w:numPr>
      <w:spacing w:after="60"/>
      <w:outlineLvl w:val="6"/>
    </w:pPr>
    <w:rPr>
      <w:szCs w:val="20"/>
    </w:rPr>
  </w:style>
  <w:style w:type="paragraph" w:styleId="Ttulo8">
    <w:name w:val="heading 8"/>
    <w:basedOn w:val="Normal"/>
    <w:next w:val="Normal"/>
    <w:link w:val="Ttulo8Car"/>
    <w:autoRedefine/>
    <w:semiHidden/>
    <w:unhideWhenUsed/>
    <w:qFormat/>
    <w:rsid w:val="00B81C9C"/>
    <w:pPr>
      <w:numPr>
        <w:ilvl w:val="7"/>
        <w:numId w:val="26"/>
      </w:numPr>
      <w:spacing w:after="60"/>
      <w:outlineLvl w:val="7"/>
    </w:pPr>
    <w:rPr>
      <w:i/>
      <w:szCs w:val="20"/>
    </w:rPr>
  </w:style>
  <w:style w:type="paragraph" w:styleId="Ttulo9">
    <w:name w:val="heading 9"/>
    <w:aliases w:val="Título de Índice"/>
    <w:basedOn w:val="Normal"/>
    <w:next w:val="Normal"/>
    <w:link w:val="Ttulo9Car"/>
    <w:autoRedefine/>
    <w:semiHidden/>
    <w:unhideWhenUsed/>
    <w:qFormat/>
    <w:rsid w:val="00B81C9C"/>
    <w:pPr>
      <w:pBdr>
        <w:top w:val="single" w:sz="12" w:space="1" w:color="5CACE2"/>
        <w:left w:val="single" w:sz="12" w:space="4" w:color="5CACE2"/>
        <w:bottom w:val="single" w:sz="12" w:space="1" w:color="5CACE2"/>
        <w:right w:val="single" w:sz="12" w:space="4" w:color="5CACE2"/>
      </w:pBdr>
      <w:spacing w:before="0" w:after="60"/>
      <w:jc w:val="center"/>
      <w:outlineLvl w:val="8"/>
    </w:pPr>
    <w:rPr>
      <w:b/>
      <w:color w:val="5CACE2"/>
      <w:sz w:val="2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1B27FC"/>
    <w:pPr>
      <w:keepLines/>
      <w:spacing w:before="0" w:after="0"/>
    </w:pPr>
    <w:rPr>
      <w:sz w:val="18"/>
    </w:rPr>
  </w:style>
  <w:style w:type="paragraph" w:styleId="Piedepgina">
    <w:name w:val="footer"/>
    <w:basedOn w:val="Normal"/>
    <w:link w:val="PiedepginaCar"/>
    <w:uiPriority w:val="99"/>
    <w:rsid w:val="001B27FC"/>
    <w:pPr>
      <w:pBdr>
        <w:top w:val="single" w:sz="4" w:space="1" w:color="auto"/>
      </w:pBdr>
      <w:tabs>
        <w:tab w:val="center" w:pos="4252"/>
        <w:tab w:val="right" w:pos="8504"/>
      </w:tabs>
      <w:spacing w:before="0" w:after="0"/>
      <w:jc w:val="left"/>
    </w:pPr>
    <w:rPr>
      <w:sz w:val="18"/>
    </w:rPr>
  </w:style>
  <w:style w:type="paragraph" w:styleId="Encabezado">
    <w:name w:val="header"/>
    <w:basedOn w:val="Normal"/>
    <w:link w:val="EncabezadoCar"/>
    <w:autoRedefine/>
    <w:uiPriority w:val="99"/>
    <w:rsid w:val="00FB12D5"/>
    <w:pPr>
      <w:pBdr>
        <w:bottom w:val="double" w:sz="4" w:space="1" w:color="6699C0"/>
      </w:pBdr>
      <w:tabs>
        <w:tab w:val="center" w:pos="4252"/>
        <w:tab w:val="right" w:pos="8364"/>
      </w:tabs>
      <w:spacing w:before="0" w:after="0"/>
      <w:jc w:val="center"/>
    </w:pPr>
    <w:rPr>
      <w:i/>
      <w:color w:val="629AC8"/>
      <w:sz w:val="20"/>
    </w:rPr>
  </w:style>
  <w:style w:type="paragraph" w:styleId="Epgrafe">
    <w:name w:val="caption"/>
    <w:basedOn w:val="Normal"/>
    <w:next w:val="Normal"/>
    <w:semiHidden/>
    <w:unhideWhenUsed/>
    <w:qFormat/>
    <w:rsid w:val="009502EC"/>
    <w:pPr>
      <w:keepNext/>
      <w:keepLines/>
      <w:spacing w:before="360" w:after="0"/>
      <w:jc w:val="left"/>
    </w:pPr>
    <w:rPr>
      <w:b/>
      <w:bCs/>
      <w:i/>
      <w:sz w:val="20"/>
    </w:rPr>
  </w:style>
  <w:style w:type="paragraph" w:styleId="Ttulodendice">
    <w:name w:val="index heading"/>
    <w:basedOn w:val="Normal"/>
    <w:next w:val="Normal"/>
    <w:semiHidden/>
    <w:rsid w:val="001B27FC"/>
    <w:pPr>
      <w:pBdr>
        <w:top w:val="single" w:sz="18" w:space="1" w:color="000080"/>
        <w:left w:val="single" w:sz="18" w:space="4" w:color="000080"/>
        <w:bottom w:val="single" w:sz="18" w:space="1" w:color="000080"/>
        <w:right w:val="single" w:sz="18" w:space="4" w:color="000080"/>
      </w:pBdr>
      <w:spacing w:before="0" w:after="360"/>
      <w:jc w:val="center"/>
    </w:pPr>
    <w:rPr>
      <w:b/>
      <w:color w:val="000080"/>
      <w:sz w:val="26"/>
      <w:szCs w:val="20"/>
    </w:rPr>
  </w:style>
  <w:style w:type="paragraph" w:styleId="TDC1">
    <w:name w:val="toc 1"/>
    <w:basedOn w:val="Normal"/>
    <w:next w:val="Normal"/>
    <w:uiPriority w:val="39"/>
    <w:rsid w:val="001B27FC"/>
    <w:pPr>
      <w:tabs>
        <w:tab w:val="left" w:pos="426"/>
        <w:tab w:val="right" w:leader="dot" w:pos="7077"/>
      </w:tabs>
      <w:ind w:left="426" w:hanging="426"/>
      <w:jc w:val="left"/>
    </w:pPr>
    <w:rPr>
      <w:b/>
      <w:smallCaps/>
      <w:noProof/>
      <w:sz w:val="20"/>
    </w:rPr>
  </w:style>
  <w:style w:type="paragraph" w:styleId="TDC2">
    <w:name w:val="toc 2"/>
    <w:basedOn w:val="Normal"/>
    <w:next w:val="Normal"/>
    <w:uiPriority w:val="39"/>
    <w:rsid w:val="001B27FC"/>
    <w:pPr>
      <w:tabs>
        <w:tab w:val="left" w:pos="851"/>
        <w:tab w:val="right" w:leader="dot" w:pos="7077"/>
      </w:tabs>
      <w:spacing w:before="0" w:after="0"/>
      <w:ind w:left="851" w:hanging="425"/>
      <w:jc w:val="left"/>
    </w:pPr>
    <w:rPr>
      <w:i/>
      <w:noProof/>
      <w:sz w:val="20"/>
    </w:rPr>
  </w:style>
  <w:style w:type="paragraph" w:styleId="TDC3">
    <w:name w:val="toc 3"/>
    <w:basedOn w:val="Normal"/>
    <w:next w:val="Normal"/>
    <w:uiPriority w:val="39"/>
    <w:rsid w:val="001B27FC"/>
    <w:pPr>
      <w:tabs>
        <w:tab w:val="left" w:pos="1418"/>
        <w:tab w:val="right" w:leader="dot" w:pos="7077"/>
      </w:tabs>
      <w:spacing w:before="0" w:after="0"/>
      <w:ind w:left="1418" w:hanging="567"/>
      <w:jc w:val="left"/>
    </w:pPr>
    <w:rPr>
      <w:noProof/>
      <w:sz w:val="20"/>
    </w:rPr>
  </w:style>
  <w:style w:type="paragraph" w:styleId="TDC4">
    <w:name w:val="toc 4"/>
    <w:basedOn w:val="Normal"/>
    <w:next w:val="Normal"/>
    <w:semiHidden/>
    <w:rsid w:val="001B27FC"/>
    <w:pPr>
      <w:tabs>
        <w:tab w:val="right" w:leader="dot" w:pos="7077"/>
      </w:tabs>
      <w:spacing w:before="0" w:after="0"/>
      <w:ind w:left="1701" w:hanging="283"/>
      <w:jc w:val="left"/>
    </w:pPr>
    <w:rPr>
      <w:i/>
      <w:noProof/>
      <w:sz w:val="18"/>
    </w:rPr>
  </w:style>
  <w:style w:type="paragraph" w:customStyle="1" w:styleId="Bolos">
    <w:name w:val="Bolos"/>
    <w:basedOn w:val="Normal"/>
    <w:next w:val="Normal"/>
    <w:link w:val="BolosCar"/>
    <w:uiPriority w:val="1"/>
    <w:qFormat/>
    <w:rsid w:val="00BD4139"/>
    <w:pPr>
      <w:numPr>
        <w:numId w:val="3"/>
      </w:numPr>
    </w:pPr>
  </w:style>
  <w:style w:type="paragraph" w:customStyle="1" w:styleId="Tablascuadrosygrficos">
    <w:name w:val="Tablas cuadros y gráficos"/>
    <w:basedOn w:val="Normal"/>
    <w:next w:val="Normal"/>
    <w:rsid w:val="001B27FC"/>
    <w:pPr>
      <w:keepNext/>
      <w:keepLines/>
      <w:numPr>
        <w:ilvl w:val="12"/>
      </w:numPr>
      <w:spacing w:before="0" w:after="0"/>
      <w:jc w:val="center"/>
    </w:pPr>
    <w:rPr>
      <w:snapToGrid w:val="0"/>
      <w:sz w:val="16"/>
    </w:rPr>
  </w:style>
  <w:style w:type="paragraph" w:customStyle="1" w:styleId="Fuente">
    <w:name w:val="Fuente"/>
    <w:basedOn w:val="Normal"/>
    <w:next w:val="Normal"/>
    <w:semiHidden/>
    <w:unhideWhenUsed/>
    <w:rsid w:val="001B27FC"/>
    <w:pPr>
      <w:keepLines/>
      <w:spacing w:before="0" w:after="480"/>
      <w:ind w:right="142"/>
      <w:jc w:val="left"/>
    </w:pPr>
    <w:rPr>
      <w:b/>
      <w:bCs/>
      <w:i/>
      <w:sz w:val="18"/>
    </w:rPr>
  </w:style>
  <w:style w:type="paragraph" w:styleId="TDC5">
    <w:name w:val="toc 5"/>
    <w:basedOn w:val="Normal"/>
    <w:next w:val="Normal"/>
    <w:autoRedefine/>
    <w:semiHidden/>
    <w:rsid w:val="001B27FC"/>
    <w:pPr>
      <w:tabs>
        <w:tab w:val="right" w:leader="dot" w:pos="7077"/>
      </w:tabs>
      <w:spacing w:before="0" w:after="0"/>
      <w:ind w:left="1843" w:hanging="425"/>
      <w:jc w:val="left"/>
    </w:pPr>
    <w:rPr>
      <w:noProof/>
      <w:sz w:val="18"/>
    </w:rPr>
  </w:style>
  <w:style w:type="paragraph" w:styleId="TDC6">
    <w:name w:val="toc 6"/>
    <w:basedOn w:val="Normal"/>
    <w:next w:val="Normal"/>
    <w:autoRedefine/>
    <w:semiHidden/>
    <w:rsid w:val="001B27FC"/>
    <w:pPr>
      <w:spacing w:before="0" w:after="0"/>
      <w:ind w:left="1100"/>
      <w:jc w:val="left"/>
    </w:pPr>
    <w:rPr>
      <w:sz w:val="18"/>
    </w:rPr>
  </w:style>
  <w:style w:type="paragraph" w:styleId="TDC7">
    <w:name w:val="toc 7"/>
    <w:basedOn w:val="Normal"/>
    <w:next w:val="Normal"/>
    <w:autoRedefine/>
    <w:semiHidden/>
    <w:rsid w:val="001B27FC"/>
    <w:pPr>
      <w:spacing w:before="0" w:after="0"/>
      <w:ind w:left="1320"/>
      <w:jc w:val="left"/>
    </w:pPr>
    <w:rPr>
      <w:sz w:val="18"/>
    </w:rPr>
  </w:style>
  <w:style w:type="paragraph" w:styleId="TDC8">
    <w:name w:val="toc 8"/>
    <w:basedOn w:val="Normal"/>
    <w:next w:val="Normal"/>
    <w:autoRedefine/>
    <w:semiHidden/>
    <w:rsid w:val="001B27FC"/>
    <w:pPr>
      <w:spacing w:before="0" w:after="0"/>
      <w:ind w:left="1540"/>
      <w:jc w:val="left"/>
    </w:pPr>
    <w:rPr>
      <w:sz w:val="18"/>
    </w:rPr>
  </w:style>
  <w:style w:type="paragraph" w:styleId="TDC9">
    <w:name w:val="toc 9"/>
    <w:basedOn w:val="Normal"/>
    <w:next w:val="Normal"/>
    <w:autoRedefine/>
    <w:semiHidden/>
    <w:rsid w:val="001B27FC"/>
    <w:pPr>
      <w:spacing w:before="0" w:after="0"/>
      <w:ind w:left="1760"/>
      <w:jc w:val="left"/>
    </w:pPr>
    <w:rPr>
      <w:sz w:val="18"/>
    </w:rPr>
  </w:style>
  <w:style w:type="character" w:styleId="Refdenotaalpie">
    <w:name w:val="footnote reference"/>
    <w:semiHidden/>
    <w:rsid w:val="001B27FC"/>
    <w:rPr>
      <w:rFonts w:ascii="Times New Roman" w:hAnsi="Times New Roman"/>
      <w:dstrike w:val="0"/>
      <w:color w:val="auto"/>
      <w:sz w:val="18"/>
      <w:vertAlign w:val="superscript"/>
    </w:rPr>
  </w:style>
  <w:style w:type="paragraph" w:customStyle="1" w:styleId="Listaguiones">
    <w:name w:val="Lista guiones"/>
    <w:basedOn w:val="Normal"/>
    <w:next w:val="Normal"/>
    <w:link w:val="ListaguionesCar"/>
    <w:semiHidden/>
    <w:unhideWhenUsed/>
    <w:rsid w:val="001B27FC"/>
    <w:pPr>
      <w:keepLines/>
      <w:spacing w:after="0"/>
    </w:pPr>
  </w:style>
  <w:style w:type="paragraph" w:customStyle="1" w:styleId="Listanumrica">
    <w:name w:val="Lista numérica"/>
    <w:basedOn w:val="Normal"/>
    <w:next w:val="Normal"/>
    <w:semiHidden/>
    <w:unhideWhenUsed/>
    <w:rsid w:val="001B27FC"/>
    <w:pPr>
      <w:keepLines/>
      <w:numPr>
        <w:numId w:val="1"/>
      </w:numPr>
    </w:pPr>
  </w:style>
  <w:style w:type="paragraph" w:customStyle="1" w:styleId="Listaletrada">
    <w:name w:val="Lista letrada"/>
    <w:basedOn w:val="Normal"/>
    <w:next w:val="Normal"/>
    <w:semiHidden/>
    <w:unhideWhenUsed/>
    <w:rsid w:val="001B27FC"/>
    <w:pPr>
      <w:tabs>
        <w:tab w:val="num" w:pos="851"/>
      </w:tabs>
      <w:ind w:left="851" w:hanging="494"/>
    </w:pPr>
  </w:style>
  <w:style w:type="character" w:styleId="Nmerodepgina">
    <w:name w:val="page number"/>
    <w:basedOn w:val="Fuentedeprrafopredeter"/>
    <w:rsid w:val="001B27FC"/>
  </w:style>
  <w:style w:type="character" w:styleId="Hipervnculo">
    <w:name w:val="Hyperlink"/>
    <w:uiPriority w:val="99"/>
    <w:rsid w:val="001B27FC"/>
    <w:rPr>
      <w:color w:val="0000FF"/>
      <w:u w:val="single"/>
    </w:rPr>
  </w:style>
  <w:style w:type="paragraph" w:customStyle="1" w:styleId="Continuacin">
    <w:name w:val="Continuación"/>
    <w:basedOn w:val="Normal"/>
    <w:next w:val="Normal"/>
    <w:semiHidden/>
    <w:unhideWhenUsed/>
    <w:rsid w:val="001B27FC"/>
    <w:pPr>
      <w:ind w:left="357"/>
    </w:pPr>
  </w:style>
  <w:style w:type="paragraph" w:styleId="Cita">
    <w:name w:val="Quote"/>
    <w:basedOn w:val="Normal"/>
    <w:next w:val="Normal"/>
    <w:link w:val="CitaCar"/>
    <w:semiHidden/>
    <w:unhideWhenUsed/>
    <w:qFormat/>
    <w:rsid w:val="009502EC"/>
    <w:pPr>
      <w:keepLines/>
      <w:ind w:left="567" w:right="566"/>
    </w:pPr>
    <w:rPr>
      <w:i/>
    </w:rPr>
  </w:style>
  <w:style w:type="paragraph" w:customStyle="1" w:styleId="Esquema">
    <w:name w:val="Esquema"/>
    <w:basedOn w:val="Tablascuadrosygrficos"/>
    <w:semiHidden/>
    <w:unhideWhenUsed/>
    <w:rsid w:val="001B27FC"/>
    <w:pPr>
      <w:spacing w:line="240" w:lineRule="exact"/>
    </w:pPr>
    <w:rPr>
      <w:sz w:val="20"/>
    </w:rPr>
  </w:style>
  <w:style w:type="paragraph" w:customStyle="1" w:styleId="Listaguiones2">
    <w:name w:val="Lista guiones2"/>
    <w:basedOn w:val="Listaguiones"/>
    <w:next w:val="Normal"/>
    <w:semiHidden/>
    <w:unhideWhenUsed/>
    <w:rsid w:val="001B27FC"/>
    <w:pPr>
      <w:ind w:left="624" w:hanging="267"/>
    </w:pPr>
  </w:style>
  <w:style w:type="character" w:styleId="Hipervnculovisitado">
    <w:name w:val="FollowedHyperlink"/>
    <w:semiHidden/>
    <w:unhideWhenUsed/>
    <w:rsid w:val="001B27FC"/>
    <w:rPr>
      <w:color w:val="800080"/>
      <w:u w:val="single"/>
    </w:rPr>
  </w:style>
  <w:style w:type="paragraph" w:styleId="Ttulo">
    <w:name w:val="Title"/>
    <w:basedOn w:val="Normal"/>
    <w:link w:val="TtuloCar"/>
    <w:autoRedefine/>
    <w:qFormat/>
    <w:rsid w:val="00CB0562"/>
    <w:pPr>
      <w:keepNext/>
      <w:keepLines/>
      <w:shd w:val="clear" w:color="auto" w:fill="5CACE2"/>
      <w:spacing w:before="5040" w:after="0"/>
      <w:jc w:val="center"/>
    </w:pPr>
    <w:rPr>
      <w:b/>
      <w:smallCaps/>
      <w:color w:val="FFFFFF" w:themeColor="background1"/>
      <w:sz w:val="40"/>
      <w:szCs w:val="20"/>
      <w:lang w:val="es-ES_tradnl"/>
    </w:rPr>
  </w:style>
  <w:style w:type="paragraph" w:styleId="Tabladeilustraciones">
    <w:name w:val="table of figures"/>
    <w:basedOn w:val="Normal"/>
    <w:next w:val="Normal"/>
    <w:semiHidden/>
    <w:rsid w:val="001B27FC"/>
    <w:pPr>
      <w:tabs>
        <w:tab w:val="right" w:leader="dot" w:pos="7643"/>
      </w:tabs>
      <w:spacing w:before="0" w:after="0"/>
      <w:ind w:left="442" w:hanging="442"/>
    </w:pPr>
    <w:rPr>
      <w:sz w:val="20"/>
      <w:szCs w:val="20"/>
    </w:rPr>
  </w:style>
  <w:style w:type="character" w:customStyle="1" w:styleId="EncabezadoCar">
    <w:name w:val="Encabezado Car"/>
    <w:link w:val="Encabezado"/>
    <w:uiPriority w:val="99"/>
    <w:rsid w:val="00FB12D5"/>
    <w:rPr>
      <w:rFonts w:ascii="Arial Narrow" w:hAnsi="Arial Narrow"/>
      <w:i/>
      <w:color w:val="629AC8"/>
      <w:szCs w:val="24"/>
    </w:rPr>
  </w:style>
  <w:style w:type="paragraph" w:styleId="Textodeglobo">
    <w:name w:val="Balloon Text"/>
    <w:basedOn w:val="Normal"/>
    <w:link w:val="TextodegloboCar"/>
    <w:uiPriority w:val="99"/>
    <w:semiHidden/>
    <w:unhideWhenUsed/>
    <w:rsid w:val="00D72165"/>
    <w:pPr>
      <w:spacing w:before="0" w:after="0"/>
    </w:pPr>
    <w:rPr>
      <w:rFonts w:ascii="Tahoma" w:hAnsi="Tahoma" w:cs="Tahoma"/>
      <w:sz w:val="16"/>
      <w:szCs w:val="16"/>
    </w:rPr>
  </w:style>
  <w:style w:type="character" w:customStyle="1" w:styleId="TextodegloboCar">
    <w:name w:val="Texto de globo Car"/>
    <w:link w:val="Textodeglobo"/>
    <w:uiPriority w:val="99"/>
    <w:semiHidden/>
    <w:rsid w:val="00D72165"/>
    <w:rPr>
      <w:rFonts w:ascii="Tahoma" w:hAnsi="Tahoma" w:cs="Tahoma"/>
      <w:sz w:val="16"/>
      <w:szCs w:val="16"/>
    </w:rPr>
  </w:style>
  <w:style w:type="character" w:styleId="Referenciasutil">
    <w:name w:val="Subtle Reference"/>
    <w:uiPriority w:val="31"/>
    <w:qFormat/>
    <w:rsid w:val="00B81C9C"/>
    <w:rPr>
      <w:rFonts w:ascii="Arial Narrow" w:hAnsi="Arial Narrow"/>
      <w:caps w:val="0"/>
      <w:smallCaps/>
      <w:color w:val="5CACE2"/>
      <w:sz w:val="20"/>
      <w:u w:val="single" w:color="5CACE2"/>
    </w:rPr>
  </w:style>
  <w:style w:type="character" w:styleId="Referenciaintensa">
    <w:name w:val="Intense Reference"/>
    <w:uiPriority w:val="32"/>
    <w:qFormat/>
    <w:rsid w:val="00B81C9C"/>
    <w:rPr>
      <w:rFonts w:ascii="Arial Narrow" w:hAnsi="Arial Narrow"/>
      <w:b/>
      <w:bCs/>
      <w:caps w:val="0"/>
      <w:smallCaps/>
      <w:color w:val="5CACE2"/>
      <w:spacing w:val="5"/>
      <w:sz w:val="22"/>
      <w:u w:val="single" w:color="5CACE2"/>
    </w:rPr>
  </w:style>
  <w:style w:type="character" w:styleId="Textoennegrita">
    <w:name w:val="Strong"/>
    <w:uiPriority w:val="22"/>
    <w:qFormat/>
    <w:rsid w:val="00CC38F5"/>
    <w:rPr>
      <w:rFonts w:ascii="Arial Narrow" w:hAnsi="Arial Narrow"/>
      <w:b/>
      <w:bCs/>
      <w:color w:val="5CACE2"/>
      <w:sz w:val="22"/>
    </w:rPr>
  </w:style>
  <w:style w:type="paragraph" w:customStyle="1" w:styleId="Red2Red">
    <w:name w:val="Red2Red"/>
    <w:basedOn w:val="Normal"/>
    <w:link w:val="Red2RedCar"/>
    <w:qFormat/>
    <w:rsid w:val="0068341F"/>
    <w:rPr>
      <w:color w:val="5CACE2"/>
    </w:rPr>
  </w:style>
  <w:style w:type="paragraph" w:styleId="Citadestacada">
    <w:name w:val="Intense Quote"/>
    <w:basedOn w:val="Normal"/>
    <w:next w:val="Normal"/>
    <w:link w:val="CitadestacadaCar"/>
    <w:uiPriority w:val="30"/>
    <w:qFormat/>
    <w:rsid w:val="009502EC"/>
    <w:pPr>
      <w:pBdr>
        <w:bottom w:val="single" w:sz="4" w:space="4" w:color="4F81BD"/>
      </w:pBdr>
      <w:spacing w:before="200" w:after="280"/>
      <w:ind w:left="936" w:right="936"/>
    </w:pPr>
    <w:rPr>
      <w:b/>
      <w:bCs/>
      <w:i/>
      <w:iCs/>
      <w:u w:val="single"/>
    </w:rPr>
  </w:style>
  <w:style w:type="character" w:customStyle="1" w:styleId="Red2RedCar">
    <w:name w:val="Red2Red Car"/>
    <w:link w:val="Red2Red"/>
    <w:rsid w:val="0068341F"/>
    <w:rPr>
      <w:rFonts w:ascii="Arial Narrow" w:hAnsi="Arial Narrow"/>
      <w:color w:val="5CACE2"/>
      <w:sz w:val="24"/>
      <w:szCs w:val="24"/>
    </w:rPr>
  </w:style>
  <w:style w:type="character" w:customStyle="1" w:styleId="CitadestacadaCar">
    <w:name w:val="Cita destacada Car"/>
    <w:link w:val="Citadestacada"/>
    <w:uiPriority w:val="30"/>
    <w:rsid w:val="009502EC"/>
    <w:rPr>
      <w:rFonts w:ascii="Arial Narrow" w:hAnsi="Arial Narrow"/>
      <w:b/>
      <w:bCs/>
      <w:i/>
      <w:iCs/>
      <w:sz w:val="22"/>
      <w:szCs w:val="24"/>
      <w:u w:val="single"/>
    </w:rPr>
  </w:style>
  <w:style w:type="character" w:customStyle="1" w:styleId="Ttulo1Car">
    <w:name w:val="Título 1 Car"/>
    <w:link w:val="Ttulo1"/>
    <w:rsid w:val="001F1891"/>
    <w:rPr>
      <w:rFonts w:ascii="Arial Narrow" w:hAnsi="Arial Narrow"/>
      <w:b/>
      <w:smallCaps/>
      <w:color w:val="FFFFFF" w:themeColor="background1"/>
      <w:kern w:val="28"/>
      <w:sz w:val="30"/>
      <w:shd w:val="clear" w:color="auto" w:fill="5CACE2"/>
    </w:rPr>
  </w:style>
  <w:style w:type="character" w:customStyle="1" w:styleId="Ttulo2Car">
    <w:name w:val="Título 2 Car"/>
    <w:link w:val="Ttulo2"/>
    <w:rsid w:val="001F1891"/>
    <w:rPr>
      <w:rFonts w:ascii="Arial Narrow" w:hAnsi="Arial Narrow"/>
      <w:sz w:val="28"/>
      <w:szCs w:val="22"/>
      <w:shd w:val="clear" w:color="auto" w:fill="FFFFFF" w:themeFill="background1"/>
    </w:rPr>
  </w:style>
  <w:style w:type="character" w:customStyle="1" w:styleId="Ttulo3Car">
    <w:name w:val="Título 3 Car"/>
    <w:link w:val="Ttulo3"/>
    <w:rsid w:val="00D51F38"/>
    <w:rPr>
      <w:rFonts w:ascii="Arial Narrow" w:hAnsi="Arial Narrow"/>
      <w:b/>
      <w:color w:val="5CACE2"/>
      <w:sz w:val="26"/>
      <w:szCs w:val="22"/>
    </w:rPr>
  </w:style>
  <w:style w:type="character" w:customStyle="1" w:styleId="Ttulo4Car">
    <w:name w:val="Título 4 Car"/>
    <w:link w:val="Ttulo4"/>
    <w:rsid w:val="00D51F38"/>
    <w:rPr>
      <w:rFonts w:ascii="Arial Narrow" w:hAnsi="Arial Narrow"/>
      <w:b/>
      <w:color w:val="5CACE2"/>
      <w:sz w:val="24"/>
    </w:rPr>
  </w:style>
  <w:style w:type="character" w:customStyle="1" w:styleId="Ttulo5Car">
    <w:name w:val="Título 5 Car"/>
    <w:link w:val="Ttulo5"/>
    <w:rsid w:val="00D51F38"/>
    <w:rPr>
      <w:rFonts w:ascii="Arial Narrow" w:hAnsi="Arial Narrow"/>
      <w:b/>
      <w:color w:val="5CACE2"/>
      <w:sz w:val="24"/>
    </w:rPr>
  </w:style>
  <w:style w:type="character" w:customStyle="1" w:styleId="Ttulo6Car">
    <w:name w:val="Título 6 Car"/>
    <w:link w:val="Ttulo6"/>
    <w:rsid w:val="00D51F38"/>
    <w:rPr>
      <w:rFonts w:ascii="Arial Narrow" w:hAnsi="Arial Narrow"/>
      <w:i/>
      <w:sz w:val="24"/>
    </w:rPr>
  </w:style>
  <w:style w:type="character" w:customStyle="1" w:styleId="Ttulo7Car">
    <w:name w:val="Título 7 Car"/>
    <w:link w:val="Ttulo7"/>
    <w:semiHidden/>
    <w:rsid w:val="00B465B4"/>
    <w:rPr>
      <w:rFonts w:ascii="Arial Narrow" w:hAnsi="Arial Narrow"/>
      <w:sz w:val="24"/>
    </w:rPr>
  </w:style>
  <w:style w:type="character" w:customStyle="1" w:styleId="Ttulo8Car">
    <w:name w:val="Título 8 Car"/>
    <w:link w:val="Ttulo8"/>
    <w:semiHidden/>
    <w:rsid w:val="00B465B4"/>
    <w:rPr>
      <w:rFonts w:ascii="Arial Narrow" w:hAnsi="Arial Narrow"/>
      <w:i/>
      <w:sz w:val="24"/>
    </w:rPr>
  </w:style>
  <w:style w:type="character" w:customStyle="1" w:styleId="Ttulo9Car">
    <w:name w:val="Título 9 Car"/>
    <w:aliases w:val="Título de Índice Car"/>
    <w:link w:val="Ttulo9"/>
    <w:semiHidden/>
    <w:rsid w:val="00B465B4"/>
    <w:rPr>
      <w:rFonts w:ascii="Arial Narrow" w:hAnsi="Arial Narrow"/>
      <w:b/>
      <w:color w:val="5CACE2"/>
      <w:sz w:val="28"/>
      <w:szCs w:val="22"/>
    </w:rPr>
  </w:style>
  <w:style w:type="character" w:customStyle="1" w:styleId="TtuloCar">
    <w:name w:val="Título Car"/>
    <w:link w:val="Ttulo"/>
    <w:rsid w:val="00CB0562"/>
    <w:rPr>
      <w:rFonts w:ascii="Arial Narrow" w:hAnsi="Arial Narrow"/>
      <w:b/>
      <w:smallCaps/>
      <w:color w:val="FFFFFF" w:themeColor="background1"/>
      <w:sz w:val="40"/>
      <w:shd w:val="clear" w:color="auto" w:fill="5CACE2"/>
      <w:lang w:val="es-ES_tradnl"/>
    </w:rPr>
  </w:style>
  <w:style w:type="paragraph" w:styleId="Subttulo">
    <w:name w:val="Subtitle"/>
    <w:basedOn w:val="Normal"/>
    <w:next w:val="Normal"/>
    <w:link w:val="SubttuloCar"/>
    <w:uiPriority w:val="11"/>
    <w:qFormat/>
    <w:rsid w:val="009502EC"/>
    <w:pPr>
      <w:spacing w:after="60"/>
      <w:jc w:val="center"/>
      <w:outlineLvl w:val="1"/>
    </w:pPr>
    <w:rPr>
      <w:rFonts w:ascii="Cambria" w:hAnsi="Cambria"/>
    </w:rPr>
  </w:style>
  <w:style w:type="character" w:customStyle="1" w:styleId="SubttuloCar">
    <w:name w:val="Subtítulo Car"/>
    <w:link w:val="Subttulo"/>
    <w:uiPriority w:val="11"/>
    <w:rsid w:val="009502EC"/>
    <w:rPr>
      <w:rFonts w:ascii="Cambria" w:eastAsia="Times New Roman" w:hAnsi="Cambria" w:cs="Times New Roman"/>
      <w:sz w:val="24"/>
      <w:szCs w:val="24"/>
    </w:rPr>
  </w:style>
  <w:style w:type="character" w:styleId="nfasis">
    <w:name w:val="Emphasis"/>
    <w:uiPriority w:val="20"/>
    <w:qFormat/>
    <w:rsid w:val="00B81C9C"/>
    <w:rPr>
      <w:rFonts w:ascii="Arial Narrow" w:hAnsi="Arial Narrow"/>
      <w:i/>
      <w:iCs/>
    </w:rPr>
  </w:style>
  <w:style w:type="paragraph" w:styleId="Sinespaciado">
    <w:name w:val="No Spacing"/>
    <w:basedOn w:val="Normal"/>
    <w:link w:val="SinespaciadoCar"/>
    <w:uiPriority w:val="1"/>
    <w:qFormat/>
    <w:rsid w:val="009502EC"/>
    <w:pPr>
      <w:spacing w:before="0" w:after="0"/>
    </w:pPr>
  </w:style>
  <w:style w:type="character" w:customStyle="1" w:styleId="SinespaciadoCar">
    <w:name w:val="Sin espaciado Car"/>
    <w:link w:val="Sinespaciado"/>
    <w:uiPriority w:val="1"/>
    <w:rsid w:val="009502EC"/>
    <w:rPr>
      <w:rFonts w:ascii="Arial Narrow" w:hAnsi="Arial Narrow"/>
      <w:sz w:val="22"/>
      <w:szCs w:val="24"/>
    </w:rPr>
  </w:style>
  <w:style w:type="paragraph" w:styleId="Prrafodelista">
    <w:name w:val="List Paragraph"/>
    <w:basedOn w:val="Normal"/>
    <w:uiPriority w:val="34"/>
    <w:qFormat/>
    <w:rsid w:val="001F1891"/>
    <w:pPr>
      <w:ind w:left="709"/>
    </w:pPr>
  </w:style>
  <w:style w:type="character" w:customStyle="1" w:styleId="CitaCar">
    <w:name w:val="Cita Car"/>
    <w:link w:val="Cita"/>
    <w:semiHidden/>
    <w:rsid w:val="00B465B4"/>
    <w:rPr>
      <w:rFonts w:ascii="Arial Narrow" w:hAnsi="Arial Narrow"/>
      <w:i/>
      <w:sz w:val="24"/>
      <w:szCs w:val="24"/>
    </w:rPr>
  </w:style>
  <w:style w:type="character" w:styleId="nfasissutil">
    <w:name w:val="Subtle Emphasis"/>
    <w:uiPriority w:val="19"/>
    <w:qFormat/>
    <w:rsid w:val="009502EC"/>
    <w:rPr>
      <w:i/>
      <w:iCs/>
      <w:color w:val="808080"/>
    </w:rPr>
  </w:style>
  <w:style w:type="character" w:styleId="nfasisintenso">
    <w:name w:val="Intense Emphasis"/>
    <w:uiPriority w:val="21"/>
    <w:qFormat/>
    <w:rsid w:val="00CC38F5"/>
    <w:rPr>
      <w:rFonts w:ascii="Arial Narrow" w:hAnsi="Arial Narrow"/>
      <w:b/>
      <w:bCs/>
      <w:i/>
      <w:iCs/>
      <w:color w:val="5CACE2"/>
      <w:sz w:val="22"/>
    </w:rPr>
  </w:style>
  <w:style w:type="character" w:styleId="Ttulodellibro">
    <w:name w:val="Book Title"/>
    <w:uiPriority w:val="33"/>
    <w:qFormat/>
    <w:rsid w:val="00B81C9C"/>
    <w:rPr>
      <w:rFonts w:ascii="Arial Narrow" w:hAnsi="Arial Narrow"/>
      <w:b/>
      <w:bCs/>
      <w:smallCaps/>
      <w:spacing w:val="5"/>
    </w:rPr>
  </w:style>
  <w:style w:type="paragraph" w:styleId="TtulodeTDC">
    <w:name w:val="TOC Heading"/>
    <w:basedOn w:val="Ttulo1"/>
    <w:next w:val="Normal"/>
    <w:uiPriority w:val="39"/>
    <w:semiHidden/>
    <w:unhideWhenUsed/>
    <w:qFormat/>
    <w:rsid w:val="009502EC"/>
    <w:pPr>
      <w:keepLines w:val="0"/>
      <w:pageBreakBefore w:val="0"/>
      <w:numPr>
        <w:numId w:val="0"/>
      </w:numPr>
      <w:shd w:val="clear" w:color="auto" w:fill="auto"/>
      <w:tabs>
        <w:tab w:val="clear" w:pos="709"/>
      </w:tabs>
      <w:spacing w:before="240" w:after="60"/>
      <w:jc w:val="both"/>
      <w:outlineLvl w:val="9"/>
    </w:pPr>
    <w:rPr>
      <w:rFonts w:ascii="Cambria" w:hAnsi="Cambria"/>
      <w:bCs/>
      <w:smallCaps w:val="0"/>
      <w:kern w:val="32"/>
      <w:sz w:val="32"/>
      <w:szCs w:val="32"/>
    </w:rPr>
  </w:style>
  <w:style w:type="table" w:styleId="Tablaconcuadrcula">
    <w:name w:val="Table Grid"/>
    <w:basedOn w:val="Tablanormal"/>
    <w:uiPriority w:val="59"/>
    <w:rsid w:val="00100A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link w:val="Piedepgina"/>
    <w:uiPriority w:val="99"/>
    <w:rsid w:val="0054307A"/>
    <w:rPr>
      <w:rFonts w:ascii="Arial Narrow" w:hAnsi="Arial Narrow"/>
      <w:sz w:val="18"/>
      <w:szCs w:val="24"/>
    </w:rPr>
  </w:style>
  <w:style w:type="character" w:customStyle="1" w:styleId="BolosCar">
    <w:name w:val="Bolos Car"/>
    <w:link w:val="Bolos"/>
    <w:uiPriority w:val="1"/>
    <w:rsid w:val="00B465B4"/>
    <w:rPr>
      <w:rFonts w:ascii="Arial Narrow" w:hAnsi="Arial Narrow"/>
      <w:sz w:val="24"/>
      <w:szCs w:val="24"/>
    </w:rPr>
  </w:style>
  <w:style w:type="paragraph" w:styleId="Sangranormal">
    <w:name w:val="Normal Indent"/>
    <w:aliases w:val=" Char Char Car Car, Char Char Car Car Car Car Car Car Car, Char Char Car Car Car Car Car Car Car Car Car Car, Char Char Car Car Car Car Car Car Car Car,Char Char Car Car,Char Char Car Car Car Car Car Car Car"/>
    <w:basedOn w:val="Normal"/>
    <w:rsid w:val="00B41688"/>
    <w:pPr>
      <w:ind w:left="720"/>
    </w:pPr>
    <w:rPr>
      <w:lang w:val="es-ES_tradnl" w:eastAsia="zh-CN"/>
    </w:rPr>
  </w:style>
  <w:style w:type="character" w:customStyle="1" w:styleId="ListaguionesCar">
    <w:name w:val="Lista guiones Car"/>
    <w:link w:val="Listaguiones"/>
    <w:semiHidden/>
    <w:rsid w:val="00B465B4"/>
    <w:rPr>
      <w:rFonts w:ascii="Arial Narrow" w:hAnsi="Arial Narrow"/>
      <w:sz w:val="24"/>
      <w:szCs w:val="24"/>
    </w:rPr>
  </w:style>
  <w:style w:type="table" w:customStyle="1" w:styleId="Sombreadoclaro-nfasis11">
    <w:name w:val="Sombreado claro - Énfasis 11"/>
    <w:basedOn w:val="Tablanormal"/>
    <w:uiPriority w:val="60"/>
    <w:rsid w:val="00E85E8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A331B2"/>
    <w:pPr>
      <w:autoSpaceDE w:val="0"/>
      <w:autoSpaceDN w:val="0"/>
      <w:adjustRightInd w:val="0"/>
    </w:pPr>
    <w:rPr>
      <w:rFonts w:ascii="Arial" w:hAnsi="Arial" w:cs="Arial"/>
      <w:color w:val="000000"/>
      <w:sz w:val="24"/>
      <w:szCs w:val="24"/>
    </w:rPr>
  </w:style>
  <w:style w:type="paragraph" w:customStyle="1" w:styleId="NormTtulo5y6">
    <w:name w:val="Norm.Título 5 y 6"/>
    <w:uiPriority w:val="1"/>
    <w:qFormat/>
    <w:rsid w:val="007B2C22"/>
    <w:pPr>
      <w:spacing w:before="240" w:after="120"/>
      <w:ind w:left="1418"/>
    </w:pPr>
    <w:rPr>
      <w:rFonts w:ascii="Arial Narrow" w:hAnsi="Arial Narrow"/>
      <w:sz w:val="24"/>
      <w:szCs w:val="24"/>
    </w:rPr>
  </w:style>
  <w:style w:type="character" w:styleId="Refdecomentario">
    <w:name w:val="annotation reference"/>
    <w:basedOn w:val="Fuentedeprrafopredeter"/>
    <w:uiPriority w:val="99"/>
    <w:semiHidden/>
    <w:unhideWhenUsed/>
    <w:rsid w:val="00AF6289"/>
    <w:rPr>
      <w:sz w:val="16"/>
      <w:szCs w:val="16"/>
    </w:rPr>
  </w:style>
  <w:style w:type="paragraph" w:styleId="Textocomentario">
    <w:name w:val="annotation text"/>
    <w:basedOn w:val="Normal"/>
    <w:link w:val="TextocomentarioCar"/>
    <w:uiPriority w:val="99"/>
    <w:unhideWhenUsed/>
    <w:rsid w:val="00AF6289"/>
    <w:rPr>
      <w:sz w:val="20"/>
      <w:szCs w:val="20"/>
    </w:rPr>
  </w:style>
  <w:style w:type="character" w:customStyle="1" w:styleId="TextocomentarioCar">
    <w:name w:val="Texto comentario Car"/>
    <w:basedOn w:val="Fuentedeprrafopredeter"/>
    <w:link w:val="Textocomentario"/>
    <w:uiPriority w:val="99"/>
    <w:rsid w:val="00AF6289"/>
    <w:rPr>
      <w:rFonts w:ascii="Arial Narrow" w:hAnsi="Arial Narrow"/>
    </w:rPr>
  </w:style>
  <w:style w:type="paragraph" w:styleId="Asuntodelcomentario">
    <w:name w:val="annotation subject"/>
    <w:basedOn w:val="Textocomentario"/>
    <w:next w:val="Textocomentario"/>
    <w:link w:val="AsuntodelcomentarioCar"/>
    <w:uiPriority w:val="99"/>
    <w:semiHidden/>
    <w:unhideWhenUsed/>
    <w:rsid w:val="00AF6289"/>
    <w:rPr>
      <w:b/>
      <w:bCs/>
    </w:rPr>
  </w:style>
  <w:style w:type="character" w:customStyle="1" w:styleId="AsuntodelcomentarioCar">
    <w:name w:val="Asunto del comentario Car"/>
    <w:basedOn w:val="TextocomentarioCar"/>
    <w:link w:val="Asuntodelcomentario"/>
    <w:uiPriority w:val="99"/>
    <w:semiHidden/>
    <w:rsid w:val="00AF6289"/>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08151">
      <w:bodyDiv w:val="1"/>
      <w:marLeft w:val="0"/>
      <w:marRight w:val="0"/>
      <w:marTop w:val="0"/>
      <w:marBottom w:val="0"/>
      <w:divBdr>
        <w:top w:val="none" w:sz="0" w:space="0" w:color="auto"/>
        <w:left w:val="none" w:sz="0" w:space="0" w:color="auto"/>
        <w:bottom w:val="none" w:sz="0" w:space="0" w:color="auto"/>
        <w:right w:val="none" w:sz="0" w:space="0" w:color="auto"/>
      </w:divBdr>
    </w:div>
    <w:div w:id="630861917">
      <w:bodyDiv w:val="1"/>
      <w:marLeft w:val="0"/>
      <w:marRight w:val="0"/>
      <w:marTop w:val="0"/>
      <w:marBottom w:val="0"/>
      <w:divBdr>
        <w:top w:val="none" w:sz="0" w:space="0" w:color="auto"/>
        <w:left w:val="none" w:sz="0" w:space="0" w:color="auto"/>
        <w:bottom w:val="none" w:sz="0" w:space="0" w:color="auto"/>
        <w:right w:val="none" w:sz="0" w:space="0" w:color="auto"/>
      </w:divBdr>
    </w:div>
    <w:div w:id="702829452">
      <w:bodyDiv w:val="1"/>
      <w:marLeft w:val="0"/>
      <w:marRight w:val="0"/>
      <w:marTop w:val="0"/>
      <w:marBottom w:val="0"/>
      <w:divBdr>
        <w:top w:val="none" w:sz="0" w:space="0" w:color="auto"/>
        <w:left w:val="none" w:sz="0" w:space="0" w:color="auto"/>
        <w:bottom w:val="none" w:sz="0" w:space="0" w:color="auto"/>
        <w:right w:val="none" w:sz="0" w:space="0" w:color="auto"/>
      </w:divBdr>
    </w:div>
    <w:div w:id="901257524">
      <w:bodyDiv w:val="1"/>
      <w:marLeft w:val="0"/>
      <w:marRight w:val="0"/>
      <w:marTop w:val="0"/>
      <w:marBottom w:val="0"/>
      <w:divBdr>
        <w:top w:val="none" w:sz="0" w:space="0" w:color="auto"/>
        <w:left w:val="none" w:sz="0" w:space="0" w:color="auto"/>
        <w:bottom w:val="none" w:sz="0" w:space="0" w:color="auto"/>
        <w:right w:val="none" w:sz="0" w:space="0" w:color="auto"/>
      </w:divBdr>
    </w:div>
    <w:div w:id="1021011449">
      <w:bodyDiv w:val="1"/>
      <w:marLeft w:val="0"/>
      <w:marRight w:val="0"/>
      <w:marTop w:val="0"/>
      <w:marBottom w:val="0"/>
      <w:divBdr>
        <w:top w:val="none" w:sz="0" w:space="0" w:color="auto"/>
        <w:left w:val="none" w:sz="0" w:space="0" w:color="auto"/>
        <w:bottom w:val="none" w:sz="0" w:space="0" w:color="auto"/>
        <w:right w:val="none" w:sz="0" w:space="0" w:color="auto"/>
      </w:divBdr>
    </w:div>
    <w:div w:id="1240024136">
      <w:bodyDiv w:val="1"/>
      <w:marLeft w:val="0"/>
      <w:marRight w:val="0"/>
      <w:marTop w:val="0"/>
      <w:marBottom w:val="0"/>
      <w:divBdr>
        <w:top w:val="none" w:sz="0" w:space="0" w:color="auto"/>
        <w:left w:val="none" w:sz="0" w:space="0" w:color="auto"/>
        <w:bottom w:val="none" w:sz="0" w:space="0" w:color="auto"/>
        <w:right w:val="none" w:sz="0" w:space="0" w:color="auto"/>
      </w:divBdr>
    </w:div>
    <w:div w:id="1649244023">
      <w:bodyDiv w:val="1"/>
      <w:marLeft w:val="0"/>
      <w:marRight w:val="0"/>
      <w:marTop w:val="0"/>
      <w:marBottom w:val="0"/>
      <w:divBdr>
        <w:top w:val="none" w:sz="0" w:space="0" w:color="auto"/>
        <w:left w:val="none" w:sz="0" w:space="0" w:color="auto"/>
        <w:bottom w:val="none" w:sz="0" w:space="0" w:color="auto"/>
        <w:right w:val="none" w:sz="0" w:space="0" w:color="auto"/>
      </w:divBdr>
    </w:div>
    <w:div w:id="1688291770">
      <w:bodyDiv w:val="1"/>
      <w:marLeft w:val="0"/>
      <w:marRight w:val="0"/>
      <w:marTop w:val="0"/>
      <w:marBottom w:val="0"/>
      <w:divBdr>
        <w:top w:val="none" w:sz="0" w:space="0" w:color="auto"/>
        <w:left w:val="none" w:sz="0" w:space="0" w:color="auto"/>
        <w:bottom w:val="none" w:sz="0" w:space="0" w:color="auto"/>
        <w:right w:val="none" w:sz="0" w:space="0" w:color="auto"/>
      </w:divBdr>
    </w:div>
    <w:div w:id="1809780352">
      <w:bodyDiv w:val="1"/>
      <w:marLeft w:val="0"/>
      <w:marRight w:val="0"/>
      <w:marTop w:val="0"/>
      <w:marBottom w:val="0"/>
      <w:divBdr>
        <w:top w:val="none" w:sz="0" w:space="0" w:color="auto"/>
        <w:left w:val="none" w:sz="0" w:space="0" w:color="auto"/>
        <w:bottom w:val="none" w:sz="0" w:space="0" w:color="auto"/>
        <w:right w:val="none" w:sz="0" w:space="0" w:color="auto"/>
      </w:divBdr>
    </w:div>
    <w:div w:id="193543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boe.es/buscar/doc.php?id=BOE-A-2008-6963" TargetMode="External"/><Relationship Id="rId26" Type="http://schemas.openxmlformats.org/officeDocument/2006/relationships/hyperlink" Target="http://ec.europa.eu/europe2020/index_es.htm" TargetMode="External"/><Relationship Id="rId3" Type="http://schemas.openxmlformats.org/officeDocument/2006/relationships/customXml" Target="../customXml/item3.xml"/><Relationship Id="rId21" Type="http://schemas.openxmlformats.org/officeDocument/2006/relationships/hyperlink" Target="http://eur-lex.europa.eu/LexUriServ/LexUriServ.do?uri=OJ:C:2013:375:0002:0004:ES:PDF"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www.cermi.es/es-ES/Biblioteca/Paginas/Inicio.aspx?TSMEIdPub=329" TargetMode="External"/><Relationship Id="rId25" Type="http://schemas.openxmlformats.org/officeDocument/2006/relationships/hyperlink" Target="http://ec.europa.eu/contracts_grants/agreements/index_es.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gif"/><Relationship Id="rId29" Type="http://schemas.openxmlformats.org/officeDocument/2006/relationships/hyperlink" Target="http://www.lamoncloa.gob.es/espana/eh15/politicasocial/Documents/plan_accion_EED.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eur-lex.europa.eu/LexUriServ/LexUriServ.do?uri=OJ:C:2013:375:0001:0001:ES: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eur-lex.europa.eu/legal-content/ES/TXT/PDF/?uri=CELEX:32013R1301&amp;:PDF" TargetMode="External"/><Relationship Id="rId28" Type="http://schemas.openxmlformats.org/officeDocument/2006/relationships/hyperlink" Target="http://www.lamoncloa.gob.es/espana/eh14/social/Documents/estrategia_espanola_discapacidad_2012_2020.pdf" TargetMode="External"/><Relationship Id="rId10" Type="http://schemas.openxmlformats.org/officeDocument/2006/relationships/footnotes" Target="footnotes.xml"/><Relationship Id="rId19" Type="http://schemas.openxmlformats.org/officeDocument/2006/relationships/hyperlink" Target="http://eur-lex.europa.eu/legal-content/ES/TXT/PDF/?uri=CELEX:32013R1303&amp;:PDF" TargetMode="External"/><Relationship Id="rId31" Type="http://schemas.openxmlformats.org/officeDocument/2006/relationships/hyperlink" Target="http://www.boe.es/diario_boe/txt.php?id=BOE-A-2013-1263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eur-lex.europa.eu/legal-content/ES/TXT/PDF/?uri=CELEX:32013R1304&amp;:PDF" TargetMode="External"/><Relationship Id="rId27" Type="http://schemas.openxmlformats.org/officeDocument/2006/relationships/hyperlink" Target="http://www.msssi.gob.es/ssi/discapacidad/docs/estrategia_europea_discapacidad_2010_2020.pdf" TargetMode="External"/><Relationship Id="rId30" Type="http://schemas.openxmlformats.org/officeDocument/2006/relationships/hyperlink" Target="http://sid.usal.es/leyes/discapacidad/16508/3-1-2/ley-26-2011-de-1-de-agosto-de-adaptacion-normativa-a-la-convencion-internacional-sobre-los-derechos-de-las-personas-con-discapacidad.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oe.es/doue/2013/347/L00320-0046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F5425-E832-42D8-834C-236E7934E7D9}">
  <ds:schemaRefs>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E2AFC78B-170A-4D21-96AC-CE945582850C}">
  <ds:schemaRefs>
    <ds:schemaRef ds:uri="http://schemas.microsoft.com/sharepoint/v3/contenttype/forms"/>
  </ds:schemaRefs>
</ds:datastoreItem>
</file>

<file path=customXml/itemProps3.xml><?xml version="1.0" encoding="utf-8"?>
<ds:datastoreItem xmlns:ds="http://schemas.openxmlformats.org/officeDocument/2006/customXml" ds:itemID="{AE11CF6E-DBFE-4F39-84FB-43F6BCE0B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027610B-6597-44BE-A4A7-64DA34CA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6188</Words>
  <Characters>34035</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R2R</Company>
  <LinksUpToDate>false</LinksUpToDate>
  <CharactersWithSpaces>40143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R2R</dc:creator>
  <cp:lastModifiedBy>Abella Jover, Blanca (Servimedia.net)</cp:lastModifiedBy>
  <cp:revision>2</cp:revision>
  <cp:lastPrinted>2015-06-10T14:59:00Z</cp:lastPrinted>
  <dcterms:created xsi:type="dcterms:W3CDTF">2015-11-12T13:51:00Z</dcterms:created>
  <dcterms:modified xsi:type="dcterms:W3CDTF">2015-11-12T13:51:00Z</dcterms:modified>
</cp:coreProperties>
</file>