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6B" w:rsidRDefault="00C32D6B" w:rsidP="00A357DA">
      <w:pPr>
        <w:jc w:val="center"/>
        <w:rPr>
          <w:b/>
        </w:rPr>
      </w:pPr>
      <w:bookmarkStart w:id="0" w:name="_GoBack"/>
      <w:bookmarkEnd w:id="0"/>
      <w:r>
        <w:rPr>
          <w:noProof/>
          <w:lang w:eastAsia="es-ES"/>
        </w:rPr>
        <w:drawing>
          <wp:inline distT="0" distB="0" distL="0" distR="0" wp14:anchorId="30DCF68B" wp14:editId="7E031F65">
            <wp:extent cx="1196340" cy="792480"/>
            <wp:effectExtent l="0" t="0" r="3810" b="7620"/>
            <wp:docPr id="1" name="Imagen 1" descr="cid:image001.gif@01D033D7.D6812F00"/>
            <wp:cNvGraphicFramePr/>
            <a:graphic xmlns:a="http://schemas.openxmlformats.org/drawingml/2006/main">
              <a:graphicData uri="http://schemas.openxmlformats.org/drawingml/2006/picture">
                <pic:pic xmlns:pic="http://schemas.openxmlformats.org/drawingml/2006/picture">
                  <pic:nvPicPr>
                    <pic:cNvPr id="1" name="Imagen 1" descr="cid:image001.gif@01D033D7.D6812F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792480"/>
                    </a:xfrm>
                    <a:prstGeom prst="rect">
                      <a:avLst/>
                    </a:prstGeom>
                    <a:noFill/>
                    <a:ln>
                      <a:noFill/>
                    </a:ln>
                  </pic:spPr>
                </pic:pic>
              </a:graphicData>
            </a:graphic>
          </wp:inline>
        </w:drawing>
      </w:r>
      <w:r w:rsidRPr="00C32D6B">
        <w:rPr>
          <w:noProof/>
          <w:lang w:eastAsia="es-ES"/>
        </w:rPr>
        <w:t xml:space="preserve"> </w:t>
      </w:r>
      <w:r>
        <w:rPr>
          <w:noProof/>
          <w:lang w:eastAsia="es-ES"/>
        </w:rPr>
        <w:drawing>
          <wp:inline distT="0" distB="0" distL="0" distR="0" wp14:anchorId="6902ACFD" wp14:editId="26B3670D">
            <wp:extent cx="1836420" cy="960120"/>
            <wp:effectExtent l="0" t="0" r="0" b="0"/>
            <wp:docPr id="2" name="Imagen 2" descr="logo ok Convencion"/>
            <wp:cNvGraphicFramePr/>
            <a:graphic xmlns:a="http://schemas.openxmlformats.org/drawingml/2006/main">
              <a:graphicData uri="http://schemas.openxmlformats.org/drawingml/2006/picture">
                <pic:pic xmlns:pic="http://schemas.openxmlformats.org/drawingml/2006/picture">
                  <pic:nvPicPr>
                    <pic:cNvPr id="2" name="Imagen 2" descr="logo ok Convenci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420" cy="960120"/>
                    </a:xfrm>
                    <a:prstGeom prst="rect">
                      <a:avLst/>
                    </a:prstGeom>
                    <a:noFill/>
                    <a:ln>
                      <a:noFill/>
                    </a:ln>
                  </pic:spPr>
                </pic:pic>
              </a:graphicData>
            </a:graphic>
          </wp:inline>
        </w:drawing>
      </w:r>
    </w:p>
    <w:p w:rsidR="00C32D6B" w:rsidRDefault="00C32D6B" w:rsidP="00A357DA">
      <w:pPr>
        <w:jc w:val="center"/>
        <w:rPr>
          <w:b/>
        </w:rPr>
      </w:pPr>
    </w:p>
    <w:p w:rsidR="00B331AA" w:rsidRDefault="00B331AA" w:rsidP="00B331AA">
      <w:pPr>
        <w:jc w:val="both"/>
        <w:rPr>
          <w:b/>
          <w:sz w:val="28"/>
          <w:szCs w:val="28"/>
        </w:rPr>
      </w:pPr>
    </w:p>
    <w:p w:rsidR="00B331AA" w:rsidRPr="00B331AA" w:rsidRDefault="00E25D0B" w:rsidP="00B331AA">
      <w:pPr>
        <w:jc w:val="both"/>
        <w:rPr>
          <w:b/>
          <w:sz w:val="28"/>
          <w:szCs w:val="28"/>
        </w:rPr>
      </w:pPr>
      <w:r w:rsidRPr="00B331AA">
        <w:rPr>
          <w:b/>
          <w:sz w:val="28"/>
          <w:szCs w:val="28"/>
        </w:rPr>
        <w:t>RESPUESTA</w:t>
      </w:r>
      <w:r w:rsidR="00B331AA" w:rsidRPr="00B331AA">
        <w:rPr>
          <w:b/>
          <w:sz w:val="28"/>
          <w:szCs w:val="28"/>
        </w:rPr>
        <w:t xml:space="preserve"> DEL SECTOR SOCIAL DE LA DISCAPACIDAD AGLUTINADO EN TORNO AL CERMI </w:t>
      </w:r>
      <w:r w:rsidRPr="00B331AA">
        <w:rPr>
          <w:b/>
          <w:sz w:val="28"/>
          <w:szCs w:val="28"/>
        </w:rPr>
        <w:t xml:space="preserve">A LA CONSULTA PÚBLICA </w:t>
      </w:r>
      <w:r w:rsidR="00B331AA" w:rsidRPr="00B331AA">
        <w:rPr>
          <w:b/>
          <w:sz w:val="28"/>
          <w:szCs w:val="28"/>
        </w:rPr>
        <w:t xml:space="preserve">DE LA COMISIÓN EUROPEA </w:t>
      </w:r>
      <w:r w:rsidRPr="00B331AA">
        <w:rPr>
          <w:b/>
          <w:sz w:val="28"/>
          <w:szCs w:val="28"/>
        </w:rPr>
        <w:t xml:space="preserve">SOBRE EL PILAR </w:t>
      </w:r>
      <w:r w:rsidR="00B331AA">
        <w:rPr>
          <w:b/>
          <w:sz w:val="28"/>
          <w:szCs w:val="28"/>
        </w:rPr>
        <w:t>EUROPEO DE DERECHOS SOCIALES.</w:t>
      </w:r>
    </w:p>
    <w:p w:rsidR="00E25D0B" w:rsidRPr="00B331AA" w:rsidRDefault="00B331AA" w:rsidP="00B331AA">
      <w:pPr>
        <w:jc w:val="both"/>
        <w:rPr>
          <w:sz w:val="28"/>
          <w:szCs w:val="28"/>
        </w:rPr>
      </w:pPr>
      <w:r w:rsidRPr="00B331AA">
        <w:rPr>
          <w:b/>
          <w:sz w:val="28"/>
          <w:szCs w:val="28"/>
        </w:rPr>
        <w:t>___________________________________</w:t>
      </w:r>
      <w:r>
        <w:rPr>
          <w:b/>
          <w:sz w:val="28"/>
          <w:szCs w:val="28"/>
        </w:rPr>
        <w:t>_______________________</w:t>
      </w:r>
      <w:r w:rsidRPr="00B331AA">
        <w:rPr>
          <w:b/>
          <w:sz w:val="28"/>
          <w:szCs w:val="28"/>
        </w:rPr>
        <w:br/>
      </w:r>
    </w:p>
    <w:p w:rsidR="00E25D0B" w:rsidRPr="00B331AA" w:rsidRDefault="00E25D0B" w:rsidP="00FB7C92">
      <w:pPr>
        <w:rPr>
          <w:sz w:val="28"/>
          <w:szCs w:val="28"/>
        </w:rPr>
      </w:pPr>
    </w:p>
    <w:p w:rsidR="00E25D0B" w:rsidRPr="00B331AA" w:rsidRDefault="00E25D0B" w:rsidP="00FB7C92">
      <w:pPr>
        <w:rPr>
          <w:sz w:val="28"/>
          <w:szCs w:val="28"/>
        </w:rPr>
      </w:pPr>
      <w:r w:rsidRPr="00B331AA">
        <w:rPr>
          <w:sz w:val="28"/>
          <w:szCs w:val="28"/>
        </w:rPr>
        <w:t>COMENTARIOS GENERALES</w:t>
      </w:r>
    </w:p>
    <w:p w:rsidR="00E25D0B" w:rsidRPr="00B331AA" w:rsidRDefault="00E25D0B" w:rsidP="00FB7C92">
      <w:pPr>
        <w:jc w:val="both"/>
        <w:rPr>
          <w:sz w:val="28"/>
          <w:szCs w:val="28"/>
        </w:rPr>
      </w:pPr>
    </w:p>
    <w:p w:rsidR="00E25D0B" w:rsidRPr="00B331AA" w:rsidRDefault="00E25D0B" w:rsidP="00FB7C92">
      <w:pPr>
        <w:pStyle w:val="Prrafodelista"/>
        <w:numPr>
          <w:ilvl w:val="0"/>
          <w:numId w:val="1"/>
        </w:numPr>
        <w:jc w:val="both"/>
        <w:rPr>
          <w:color w:val="auto"/>
          <w:sz w:val="28"/>
          <w:szCs w:val="28"/>
        </w:rPr>
      </w:pPr>
      <w:r w:rsidRPr="00B331AA">
        <w:rPr>
          <w:sz w:val="28"/>
          <w:szCs w:val="28"/>
        </w:rPr>
        <w:t>Es necesario incorporar de manera transversal los derechos de las personas con discapacidad</w:t>
      </w:r>
      <w:r w:rsidR="00C0400D" w:rsidRPr="00B331AA">
        <w:rPr>
          <w:sz w:val="28"/>
          <w:szCs w:val="28"/>
        </w:rPr>
        <w:t>, prestando especial atención a l</w:t>
      </w:r>
      <w:r w:rsidR="00FF19C7" w:rsidRPr="00B331AA">
        <w:rPr>
          <w:sz w:val="28"/>
          <w:szCs w:val="28"/>
        </w:rPr>
        <w:t>o</w:t>
      </w:r>
      <w:r w:rsidR="00C0400D" w:rsidRPr="00B331AA">
        <w:rPr>
          <w:sz w:val="28"/>
          <w:szCs w:val="28"/>
        </w:rPr>
        <w:t xml:space="preserve">s </w:t>
      </w:r>
      <w:r w:rsidR="00FF19C7" w:rsidRPr="00B331AA">
        <w:rPr>
          <w:sz w:val="28"/>
          <w:szCs w:val="28"/>
        </w:rPr>
        <w:t xml:space="preserve">de las </w:t>
      </w:r>
      <w:r w:rsidR="00C0400D" w:rsidRPr="00B331AA">
        <w:rPr>
          <w:sz w:val="28"/>
          <w:szCs w:val="28"/>
        </w:rPr>
        <w:t>mujeres y las niñas, así como</w:t>
      </w:r>
      <w:r w:rsidRPr="00B331AA">
        <w:rPr>
          <w:sz w:val="28"/>
          <w:szCs w:val="28"/>
        </w:rPr>
        <w:t xml:space="preserve"> </w:t>
      </w:r>
      <w:r w:rsidR="00FF19C7" w:rsidRPr="00B331AA">
        <w:rPr>
          <w:sz w:val="28"/>
          <w:szCs w:val="28"/>
        </w:rPr>
        <w:t xml:space="preserve">los </w:t>
      </w:r>
      <w:r w:rsidRPr="00B331AA">
        <w:rPr>
          <w:sz w:val="28"/>
          <w:szCs w:val="28"/>
        </w:rPr>
        <w:t xml:space="preserve">de sus familias a </w:t>
      </w:r>
      <w:r w:rsidR="00C0400D" w:rsidRPr="00B331AA">
        <w:rPr>
          <w:sz w:val="28"/>
          <w:szCs w:val="28"/>
        </w:rPr>
        <w:t>lo largo</w:t>
      </w:r>
      <w:r w:rsidRPr="00B331AA">
        <w:rPr>
          <w:sz w:val="28"/>
          <w:szCs w:val="28"/>
        </w:rPr>
        <w:t xml:space="preserve"> del Pilar Social, </w:t>
      </w:r>
      <w:r w:rsidR="00C0400D" w:rsidRPr="00B331AA">
        <w:rPr>
          <w:sz w:val="28"/>
          <w:szCs w:val="28"/>
        </w:rPr>
        <w:t xml:space="preserve">incluyendo medidas específicas para su igualación, </w:t>
      </w:r>
      <w:r w:rsidRPr="00B331AA">
        <w:rPr>
          <w:sz w:val="28"/>
          <w:szCs w:val="28"/>
        </w:rPr>
        <w:t xml:space="preserve">con un enfoque basado en los derechos humanos, que garantice el máximo grado de protección y asegure así la inclusión en la comunidad y la vida independiente de este grupo social, y en consonancia con las obligaciones de la UE y de los Estados Miembros que emanan de la Convención sobre los Derechos de las Personas con Discapacidad de </w:t>
      </w:r>
      <w:r w:rsidRPr="00B331AA">
        <w:rPr>
          <w:color w:val="auto"/>
          <w:sz w:val="28"/>
          <w:szCs w:val="28"/>
        </w:rPr>
        <w:t>Naciones Unidas (CRPD).</w:t>
      </w:r>
    </w:p>
    <w:p w:rsidR="00FF19C7" w:rsidRPr="00B331AA" w:rsidRDefault="00FF19C7" w:rsidP="00FB7C92">
      <w:pPr>
        <w:pStyle w:val="Prrafodelista"/>
        <w:jc w:val="both"/>
        <w:rPr>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 xml:space="preserve">Hay que definir el carácter jurídico del Pilar Social, y garantizar que queden integrados totalmente en el texto final los instrumentos legales y políticos existentes. Así como, incorporar disposiciones relacionadas con la promoción, protección y seguimiento a escala nacional del Pilar Social. </w:t>
      </w:r>
    </w:p>
    <w:p w:rsidR="00FB7C92" w:rsidRPr="00B331AA" w:rsidRDefault="00FB7C92" w:rsidP="00FB7C92">
      <w:pPr>
        <w:ind w:left="708"/>
        <w:jc w:val="both"/>
        <w:rPr>
          <w:rFonts w:ascii="Tahoma" w:hAnsi="Tahoma" w:cs="Tahoma"/>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Hay que incorporar disposiciones relacionadas con la participación y consulta directa con las personas con discapacidad y sus familias y las organizaciones representativas en la aplicación del Pilar Social a escala europea y nacional, todo ello en aplicación del principio del diálogo civil.</w:t>
      </w:r>
    </w:p>
    <w:p w:rsidR="00FB7C92" w:rsidRPr="00B331AA" w:rsidRDefault="00FB7C92" w:rsidP="00FB7C92">
      <w:pPr>
        <w:ind w:left="720"/>
        <w:jc w:val="both"/>
        <w:rPr>
          <w:rFonts w:ascii="Tahoma" w:hAnsi="Tahoma" w:cs="Tahoma"/>
          <w:color w:val="auto"/>
          <w:sz w:val="28"/>
          <w:szCs w:val="28"/>
        </w:rPr>
      </w:pPr>
    </w:p>
    <w:p w:rsidR="00FB7C92" w:rsidRPr="00B331AA" w:rsidRDefault="00FF19C7" w:rsidP="00C764D6">
      <w:pPr>
        <w:numPr>
          <w:ilvl w:val="0"/>
          <w:numId w:val="1"/>
        </w:numPr>
        <w:jc w:val="both"/>
        <w:rPr>
          <w:rFonts w:ascii="Tahoma" w:hAnsi="Tahoma" w:cs="Tahoma"/>
          <w:color w:val="auto"/>
          <w:sz w:val="28"/>
          <w:szCs w:val="28"/>
        </w:rPr>
      </w:pPr>
      <w:r w:rsidRPr="00B331AA">
        <w:rPr>
          <w:rFonts w:ascii="Tahoma" w:hAnsi="Tahoma" w:cs="Tahoma"/>
          <w:color w:val="auto"/>
          <w:sz w:val="28"/>
          <w:szCs w:val="28"/>
        </w:rPr>
        <w:t xml:space="preserve">Es preciso incluir disposiciones específicas que aseguren la protección contra la explotación y el trabajo forzoso de las personas con discapacidad, y en particular de las poblaciones de personas con </w:t>
      </w:r>
      <w:r w:rsidRPr="00B331AA">
        <w:rPr>
          <w:rFonts w:ascii="Tahoma" w:hAnsi="Tahoma" w:cs="Tahoma"/>
          <w:color w:val="auto"/>
          <w:sz w:val="28"/>
          <w:szCs w:val="28"/>
        </w:rPr>
        <w:lastRenderedPageBreak/>
        <w:t>discapacidad en mayor riesgo de exclusión, tales como las personas con discapacidad que precisan mayores apoyos para su autonomía, las niñas y niños y las personas mayores</w:t>
      </w:r>
      <w:r w:rsidR="00FB7C92" w:rsidRPr="00B331AA">
        <w:rPr>
          <w:rFonts w:ascii="Tahoma" w:hAnsi="Tahoma" w:cs="Tahoma"/>
          <w:color w:val="auto"/>
          <w:sz w:val="28"/>
          <w:szCs w:val="28"/>
        </w:rPr>
        <w:t>.</w:t>
      </w:r>
    </w:p>
    <w:p w:rsidR="00274E94" w:rsidRPr="00B331AA" w:rsidRDefault="00274E94" w:rsidP="00274E94">
      <w:pPr>
        <w:pStyle w:val="Prrafodelista"/>
        <w:jc w:val="both"/>
        <w:rPr>
          <w:rFonts w:ascii="Tahoma" w:hAnsi="Tahoma" w:cs="Tahoma"/>
          <w:color w:val="auto"/>
          <w:sz w:val="28"/>
          <w:szCs w:val="28"/>
        </w:rPr>
      </w:pPr>
    </w:p>
    <w:p w:rsidR="00563B36" w:rsidRPr="00B331AA" w:rsidRDefault="00274E94" w:rsidP="00563B36">
      <w:pPr>
        <w:pStyle w:val="Prrafodelista"/>
        <w:numPr>
          <w:ilvl w:val="0"/>
          <w:numId w:val="1"/>
        </w:numPr>
        <w:jc w:val="both"/>
        <w:rPr>
          <w:rFonts w:ascii="Tahoma" w:hAnsi="Tahoma" w:cs="Tahoma"/>
          <w:color w:val="auto"/>
          <w:sz w:val="28"/>
          <w:szCs w:val="28"/>
        </w:rPr>
      </w:pPr>
      <w:r w:rsidRPr="00B331AA">
        <w:rPr>
          <w:rFonts w:ascii="Tahoma" w:hAnsi="Tahoma" w:cs="Tahoma"/>
          <w:color w:val="auto"/>
          <w:sz w:val="28"/>
          <w:szCs w:val="28"/>
        </w:rPr>
        <w:t>Es necesario incorporar disposiciones relativas a la desinstitucionalización y la prestación de servicios basados en la comunidad que eliminen la segregación de muchas personas con discapacidad, y permita a quienes</w:t>
      </w:r>
      <w:r w:rsidR="00563B36" w:rsidRPr="00B331AA">
        <w:rPr>
          <w:rFonts w:ascii="Tahoma" w:hAnsi="Tahoma" w:cs="Tahoma"/>
          <w:color w:val="auto"/>
          <w:sz w:val="28"/>
          <w:szCs w:val="28"/>
        </w:rPr>
        <w:t xml:space="preserve"> están institucionalizadas acogerse a fórmulas de vida inclusivas en la comunidad, contando con los apoyos específicos.</w:t>
      </w:r>
    </w:p>
    <w:p w:rsidR="00274E94" w:rsidRPr="00B331AA" w:rsidRDefault="00274E94" w:rsidP="00C764D6">
      <w:pPr>
        <w:ind w:left="708"/>
        <w:jc w:val="both"/>
        <w:rPr>
          <w:rFonts w:ascii="Tahoma" w:hAnsi="Tahoma" w:cs="Tahoma"/>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Es preciso garantizar un nivel mínimo de protección social y un programa de ingresos mínimos en el Pilar Social, para así proteger a las personas con discapacidad de la pobreza y la exclusión y garantizarles un desarrollo vital digno.</w:t>
      </w:r>
    </w:p>
    <w:p w:rsidR="00FB7C92" w:rsidRPr="00B331AA" w:rsidRDefault="00FB7C92" w:rsidP="00FB7C92">
      <w:pPr>
        <w:ind w:left="720"/>
        <w:jc w:val="both"/>
        <w:rPr>
          <w:rFonts w:ascii="Tahoma" w:hAnsi="Tahoma" w:cs="Tahoma"/>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Hay que asegurar la libre circulación de personas, y en particular de personas con discapacidad, y la transferibilidad de servicios en todos los Estados Miembros de la UE.</w:t>
      </w:r>
    </w:p>
    <w:p w:rsidR="00FB7C92" w:rsidRPr="00B331AA" w:rsidRDefault="00FB7C92" w:rsidP="00FB7C92">
      <w:pPr>
        <w:ind w:left="720"/>
        <w:jc w:val="both"/>
        <w:rPr>
          <w:rFonts w:ascii="Tahoma" w:hAnsi="Tahoma" w:cs="Tahoma"/>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 xml:space="preserve">Es necesario garantizar la protección de las familias, </w:t>
      </w:r>
      <w:r w:rsidRPr="00B331AA">
        <w:rPr>
          <w:rFonts w:ascii="Tahoma" w:hAnsi="Tahoma" w:cs="Tahoma"/>
          <w:color w:val="auto"/>
          <w:sz w:val="28"/>
          <w:szCs w:val="28"/>
          <w:lang w:eastAsia="es-ES"/>
        </w:rPr>
        <w:t>la red primordial y más extensa y constante de apoyo a las personas con discapacidad.</w:t>
      </w:r>
    </w:p>
    <w:p w:rsidR="00FB7C92" w:rsidRPr="00B331AA" w:rsidRDefault="00FB7C92" w:rsidP="00FB7C92">
      <w:pPr>
        <w:ind w:left="720"/>
        <w:jc w:val="both"/>
        <w:rPr>
          <w:rFonts w:ascii="Tahoma" w:hAnsi="Tahoma" w:cs="Tahoma"/>
          <w:color w:val="auto"/>
          <w:sz w:val="28"/>
          <w:szCs w:val="28"/>
        </w:rPr>
      </w:pPr>
    </w:p>
    <w:p w:rsidR="00FF19C7" w:rsidRPr="00B331AA" w:rsidRDefault="00FF19C7" w:rsidP="00FB7C92">
      <w:pPr>
        <w:numPr>
          <w:ilvl w:val="0"/>
          <w:numId w:val="1"/>
        </w:numPr>
        <w:jc w:val="both"/>
        <w:rPr>
          <w:rFonts w:ascii="Tahoma" w:hAnsi="Tahoma" w:cs="Tahoma"/>
          <w:color w:val="auto"/>
          <w:sz w:val="28"/>
          <w:szCs w:val="28"/>
        </w:rPr>
      </w:pPr>
      <w:r w:rsidRPr="00B331AA">
        <w:rPr>
          <w:rFonts w:ascii="Tahoma" w:hAnsi="Tahoma" w:cs="Tahoma"/>
          <w:color w:val="auto"/>
          <w:sz w:val="28"/>
          <w:szCs w:val="28"/>
        </w:rPr>
        <w:t>Hay que aprovechar el Pilar Social para prevenir el impacto adverso y regresivo de las medidas de austeridad en el nivel de vida adecuado de las personas con discapacidad.</w:t>
      </w:r>
    </w:p>
    <w:p w:rsidR="00274E94" w:rsidRPr="00B331AA" w:rsidRDefault="00274E94" w:rsidP="00274E94">
      <w:pPr>
        <w:ind w:left="708"/>
        <w:jc w:val="both"/>
        <w:rPr>
          <w:rFonts w:ascii="Tahoma" w:hAnsi="Tahoma" w:cs="Tahoma"/>
          <w:color w:val="auto"/>
          <w:sz w:val="28"/>
          <w:szCs w:val="28"/>
        </w:rPr>
      </w:pPr>
    </w:p>
    <w:p w:rsidR="00274E94" w:rsidRPr="00B331AA" w:rsidRDefault="00274E94" w:rsidP="00274E94">
      <w:pPr>
        <w:numPr>
          <w:ilvl w:val="0"/>
          <w:numId w:val="1"/>
        </w:numPr>
        <w:jc w:val="both"/>
        <w:rPr>
          <w:rFonts w:ascii="Tahoma" w:hAnsi="Tahoma" w:cs="Tahoma"/>
          <w:color w:val="auto"/>
          <w:sz w:val="28"/>
          <w:szCs w:val="28"/>
        </w:rPr>
      </w:pPr>
      <w:r w:rsidRPr="00B331AA">
        <w:rPr>
          <w:rFonts w:ascii="Tahoma" w:hAnsi="Tahoma" w:cs="Tahoma"/>
          <w:color w:val="auto"/>
          <w:sz w:val="28"/>
          <w:szCs w:val="28"/>
        </w:rPr>
        <w:t>Es preciso ampliar el ámbito del Pilar Social más allá de los países de la Eurozona, la ciudadanía de la UE y personas nacionales de terceros países que residen de forma legal, Para incluir también otras personas en situación de exclusión, tales como personas migrantes y refugiadas.</w:t>
      </w:r>
    </w:p>
    <w:p w:rsidR="00563B36" w:rsidRPr="00B331AA" w:rsidRDefault="00563B36" w:rsidP="00563B36">
      <w:pPr>
        <w:ind w:left="360"/>
        <w:jc w:val="both"/>
        <w:rPr>
          <w:rFonts w:ascii="Tahoma" w:hAnsi="Tahoma" w:cs="Tahoma"/>
          <w:color w:val="auto"/>
          <w:sz w:val="28"/>
          <w:szCs w:val="28"/>
        </w:rPr>
      </w:pPr>
    </w:p>
    <w:p w:rsidR="00563B36" w:rsidRPr="00B331AA" w:rsidRDefault="00563B36" w:rsidP="00563B36">
      <w:pPr>
        <w:numPr>
          <w:ilvl w:val="0"/>
          <w:numId w:val="1"/>
        </w:numPr>
        <w:jc w:val="both"/>
        <w:rPr>
          <w:rFonts w:ascii="Tahoma" w:hAnsi="Tahoma" w:cs="Tahoma"/>
          <w:color w:val="auto"/>
          <w:sz w:val="28"/>
          <w:szCs w:val="28"/>
        </w:rPr>
      </w:pPr>
      <w:r w:rsidRPr="00B331AA">
        <w:rPr>
          <w:rFonts w:ascii="Tahoma" w:hAnsi="Tahoma" w:cs="Tahoma"/>
          <w:color w:val="auto"/>
          <w:sz w:val="28"/>
          <w:szCs w:val="28"/>
        </w:rPr>
        <w:t>Hay que especificar cómo se medirá su aplicación, e incorporar un mecanismo que garantice el seguimiento de su aplicación y la rendición de cuentas por parte de la UE y de los Estados Miembros.</w:t>
      </w:r>
    </w:p>
    <w:p w:rsidR="00E25D0B" w:rsidRPr="00B331AA" w:rsidRDefault="00E25D0B" w:rsidP="00FB7C92">
      <w:pPr>
        <w:pStyle w:val="Prrafodelista"/>
        <w:rPr>
          <w:color w:val="auto"/>
          <w:sz w:val="28"/>
          <w:szCs w:val="28"/>
        </w:rPr>
      </w:pPr>
    </w:p>
    <w:p w:rsidR="00563B36" w:rsidRPr="00B331AA" w:rsidRDefault="00563B36">
      <w:pPr>
        <w:rPr>
          <w:color w:val="auto"/>
          <w:sz w:val="28"/>
          <w:szCs w:val="28"/>
        </w:rPr>
      </w:pPr>
      <w:r w:rsidRPr="00B331AA">
        <w:rPr>
          <w:color w:val="auto"/>
          <w:sz w:val="28"/>
          <w:szCs w:val="28"/>
        </w:rPr>
        <w:br w:type="page"/>
      </w:r>
    </w:p>
    <w:p w:rsidR="00E25D0B" w:rsidRPr="00B331AA" w:rsidRDefault="00E25D0B" w:rsidP="00FB7C92">
      <w:pPr>
        <w:jc w:val="both"/>
        <w:rPr>
          <w:color w:val="auto"/>
          <w:sz w:val="28"/>
          <w:szCs w:val="28"/>
        </w:rPr>
      </w:pPr>
    </w:p>
    <w:p w:rsidR="00563B36" w:rsidRPr="00B331AA" w:rsidRDefault="00563B36" w:rsidP="00FB7C92">
      <w:pPr>
        <w:jc w:val="both"/>
        <w:rPr>
          <w:color w:val="auto"/>
          <w:sz w:val="28"/>
          <w:szCs w:val="28"/>
        </w:rPr>
      </w:pPr>
    </w:p>
    <w:p w:rsidR="00563B36" w:rsidRPr="00B331AA" w:rsidRDefault="00563B36" w:rsidP="00FB7C92">
      <w:pPr>
        <w:jc w:val="both"/>
        <w:rPr>
          <w:color w:val="auto"/>
          <w:sz w:val="28"/>
          <w:szCs w:val="28"/>
        </w:rPr>
      </w:pPr>
      <w:r w:rsidRPr="00B331AA">
        <w:rPr>
          <w:color w:val="auto"/>
          <w:sz w:val="28"/>
          <w:szCs w:val="28"/>
        </w:rPr>
        <w:t>COMENTARIOS ESPECÍFICOS A LOS CAPÍTULOS</w:t>
      </w:r>
    </w:p>
    <w:p w:rsidR="00563B36" w:rsidRPr="00B331AA" w:rsidRDefault="00563B36" w:rsidP="00FB7C92">
      <w:pPr>
        <w:jc w:val="both"/>
        <w:rPr>
          <w:color w:val="auto"/>
          <w:sz w:val="28"/>
          <w:szCs w:val="28"/>
        </w:rPr>
      </w:pPr>
    </w:p>
    <w:p w:rsidR="00E25D0B" w:rsidRPr="00B331AA" w:rsidRDefault="00E25D0B" w:rsidP="00FB7C92">
      <w:pPr>
        <w:pStyle w:val="Prrafodelista"/>
        <w:tabs>
          <w:tab w:val="left" w:pos="0"/>
        </w:tabs>
        <w:ind w:left="0"/>
        <w:contextualSpacing w:val="0"/>
        <w:jc w:val="both"/>
        <w:rPr>
          <w:rFonts w:cs="Arial"/>
          <w:b/>
          <w:color w:val="auto"/>
          <w:sz w:val="28"/>
          <w:szCs w:val="28"/>
        </w:rPr>
      </w:pPr>
      <w:r w:rsidRPr="00B331AA">
        <w:rPr>
          <w:rFonts w:cs="Arial"/>
          <w:b/>
          <w:color w:val="auto"/>
          <w:sz w:val="28"/>
          <w:szCs w:val="28"/>
        </w:rPr>
        <w:t>Capítulo I: Igualdad de Oportunidades y Acceso al Mercado de Trabajo</w:t>
      </w:r>
    </w:p>
    <w:p w:rsidR="00FB7C92" w:rsidRPr="00B331AA" w:rsidRDefault="00FB7C92" w:rsidP="00FB7C92">
      <w:pPr>
        <w:pStyle w:val="Prrafodelista"/>
        <w:tabs>
          <w:tab w:val="left" w:pos="0"/>
        </w:tabs>
        <w:ind w:left="0"/>
        <w:contextualSpacing w:val="0"/>
        <w:jc w:val="both"/>
        <w:rPr>
          <w:rFonts w:cs="Arial"/>
          <w:b/>
          <w:color w:val="auto"/>
          <w:sz w:val="28"/>
          <w:szCs w:val="28"/>
        </w:rPr>
      </w:pPr>
    </w:p>
    <w:p w:rsidR="00E25D0B" w:rsidRPr="00B331AA" w:rsidRDefault="00E25D0B" w:rsidP="00FB7C92">
      <w:pPr>
        <w:tabs>
          <w:tab w:val="left" w:pos="426"/>
        </w:tabs>
        <w:ind w:left="425"/>
        <w:jc w:val="both"/>
        <w:rPr>
          <w:rFonts w:cs="Arial"/>
          <w:b/>
          <w:color w:val="auto"/>
          <w:sz w:val="28"/>
          <w:szCs w:val="28"/>
        </w:rPr>
      </w:pPr>
      <w:r w:rsidRPr="00B331AA">
        <w:rPr>
          <w:rFonts w:cs="Arial"/>
          <w:b/>
          <w:color w:val="auto"/>
          <w:sz w:val="28"/>
          <w:szCs w:val="28"/>
        </w:rPr>
        <w:t>I.1. Aptitudes, educación y aprendizaje permanente</w:t>
      </w:r>
    </w:p>
    <w:p w:rsidR="00FB7C92" w:rsidRPr="00B331AA" w:rsidRDefault="00FB7C92" w:rsidP="00FB7C92">
      <w:pPr>
        <w:tabs>
          <w:tab w:val="left" w:pos="426"/>
        </w:tabs>
        <w:ind w:left="425"/>
        <w:jc w:val="both"/>
        <w:rPr>
          <w:rFonts w:cs="Arial"/>
          <w:b/>
          <w:color w:val="auto"/>
          <w:sz w:val="28"/>
          <w:szCs w:val="28"/>
        </w:rPr>
      </w:pPr>
    </w:p>
    <w:p w:rsidR="00E25D0B" w:rsidRPr="00B331AA" w:rsidRDefault="00E25D0B" w:rsidP="00FB7C92">
      <w:pPr>
        <w:jc w:val="both"/>
        <w:rPr>
          <w:sz w:val="28"/>
          <w:szCs w:val="28"/>
        </w:rPr>
      </w:pPr>
      <w:r w:rsidRPr="00B331AA">
        <w:rPr>
          <w:rFonts w:cs="Arial"/>
          <w:color w:val="auto"/>
          <w:sz w:val="28"/>
          <w:szCs w:val="28"/>
        </w:rPr>
        <w:t>Deberá asegurarse la equiparación de oportunidades e igualdad de acceso a la educación y a la formación a lo largo de la vida, de las personas con discapacidad en particular, mediante sistemas educativos inclusivos, que incorporen las medidas exigidas de accesibilidad al currículo y al entorno educativo, los ajustes y apoyos individualizados necesarios y los sistemas y soportes de comunicación requeridos</w:t>
      </w:r>
      <w:r w:rsidR="00024375" w:rsidRPr="00B331AA">
        <w:rPr>
          <w:rFonts w:cs="Arial"/>
          <w:color w:val="auto"/>
          <w:sz w:val="28"/>
          <w:szCs w:val="28"/>
        </w:rPr>
        <w:t xml:space="preserve">, todo ello en línea con el artículo 24 de la </w:t>
      </w:r>
      <w:r w:rsidR="00024375" w:rsidRPr="00B331AA">
        <w:rPr>
          <w:rFonts w:cs="Arial"/>
          <w:i/>
          <w:color w:val="auto"/>
          <w:sz w:val="28"/>
          <w:szCs w:val="28"/>
        </w:rPr>
        <w:t>Convención sobre los Derechos de las Personas con Discapacidad</w:t>
      </w:r>
      <w:r w:rsidR="00024375" w:rsidRPr="00B331AA">
        <w:rPr>
          <w:rFonts w:cs="Arial"/>
          <w:color w:val="auto"/>
          <w:sz w:val="28"/>
          <w:szCs w:val="28"/>
        </w:rPr>
        <w:t xml:space="preserve">, y particularmente con la </w:t>
      </w:r>
      <w:r w:rsidR="00024375" w:rsidRPr="00B331AA">
        <w:rPr>
          <w:rFonts w:cs="Arial"/>
          <w:i/>
          <w:color w:val="auto"/>
          <w:sz w:val="28"/>
          <w:szCs w:val="28"/>
        </w:rPr>
        <w:t>Observación General nº 4 del Comité de sobre los Derechos de las Personas con Discapacidad</w:t>
      </w:r>
      <w:r w:rsidR="00024375" w:rsidRPr="00B331AA">
        <w:rPr>
          <w:rFonts w:cs="Arial"/>
          <w:color w:val="auto"/>
          <w:sz w:val="28"/>
          <w:szCs w:val="28"/>
        </w:rPr>
        <w:t xml:space="preserve"> (CRPD/C/CG/4 de 2 de septiembre de 2016), así como considerando que la promoción</w:t>
      </w:r>
      <w:r w:rsidR="00024375" w:rsidRPr="00B331AA">
        <w:rPr>
          <w:rFonts w:cs="Arial"/>
          <w:sz w:val="28"/>
          <w:szCs w:val="28"/>
        </w:rPr>
        <w:t xml:space="preserve"> de la educación inclusiva en relación con las personas con discapacidad forma parte de los </w:t>
      </w:r>
      <w:r w:rsidR="00024375" w:rsidRPr="00B331AA">
        <w:rPr>
          <w:rFonts w:cs="Arial"/>
          <w:i/>
          <w:sz w:val="28"/>
          <w:szCs w:val="28"/>
        </w:rPr>
        <w:t xml:space="preserve">Objetivos de Desarrollo Sostenible </w:t>
      </w:r>
      <w:r w:rsidR="00024375" w:rsidRPr="00B331AA">
        <w:rPr>
          <w:rFonts w:cs="Arial"/>
          <w:sz w:val="28"/>
          <w:szCs w:val="28"/>
        </w:rPr>
        <w:t>(ODS 4).</w:t>
      </w:r>
      <w:r w:rsidR="00024375" w:rsidRPr="00B331AA">
        <w:rPr>
          <w:sz w:val="28"/>
          <w:szCs w:val="28"/>
        </w:rPr>
        <w:t xml:space="preserve"> </w:t>
      </w:r>
    </w:p>
    <w:p w:rsidR="00024375" w:rsidRPr="00B331AA" w:rsidRDefault="00024375" w:rsidP="00FB7C92">
      <w:pPr>
        <w:pStyle w:val="Prrafodelista"/>
        <w:tabs>
          <w:tab w:val="left" w:pos="426"/>
        </w:tabs>
        <w:ind w:left="426" w:hanging="426"/>
        <w:jc w:val="both"/>
        <w:rPr>
          <w:rFonts w:cs="Arial"/>
          <w:i/>
          <w:sz w:val="28"/>
          <w:szCs w:val="28"/>
        </w:rPr>
      </w:pPr>
    </w:p>
    <w:p w:rsidR="00024375" w:rsidRPr="00B331AA" w:rsidRDefault="00024375" w:rsidP="00FB7C92">
      <w:pPr>
        <w:pStyle w:val="Prrafodelista"/>
        <w:ind w:left="426"/>
        <w:jc w:val="both"/>
        <w:rPr>
          <w:rFonts w:cs="Arial"/>
          <w:b/>
          <w:sz w:val="28"/>
          <w:szCs w:val="28"/>
        </w:rPr>
      </w:pPr>
      <w:r w:rsidRPr="00B331AA">
        <w:rPr>
          <w:rFonts w:cs="Arial"/>
          <w:b/>
          <w:sz w:val="28"/>
          <w:szCs w:val="28"/>
        </w:rPr>
        <w:t>I.4. Apoyo activo al empleo</w:t>
      </w:r>
    </w:p>
    <w:p w:rsidR="00024375" w:rsidRPr="00B331AA" w:rsidRDefault="00024375" w:rsidP="00FB7C92">
      <w:pPr>
        <w:pStyle w:val="Prrafodelista"/>
        <w:tabs>
          <w:tab w:val="left" w:pos="426"/>
        </w:tabs>
        <w:ind w:left="426" w:hanging="426"/>
        <w:jc w:val="both"/>
        <w:rPr>
          <w:rFonts w:cs="Arial"/>
          <w:sz w:val="28"/>
          <w:szCs w:val="28"/>
        </w:rPr>
      </w:pPr>
    </w:p>
    <w:p w:rsidR="00024375" w:rsidRPr="00B331AA" w:rsidRDefault="00024375" w:rsidP="00FB7C92">
      <w:pPr>
        <w:jc w:val="both"/>
        <w:rPr>
          <w:rFonts w:cs="Arial"/>
          <w:sz w:val="28"/>
          <w:szCs w:val="28"/>
        </w:rPr>
      </w:pPr>
      <w:r w:rsidRPr="00B331AA">
        <w:rPr>
          <w:rFonts w:cs="Arial"/>
          <w:sz w:val="28"/>
          <w:szCs w:val="28"/>
        </w:rPr>
        <w:t xml:space="preserve">El Fondo Social Europeo debe seguir siendo un instrumento fundamental para fomentar la inclusión social a través del empleo de los grupos </w:t>
      </w:r>
      <w:r w:rsidR="00C764D6" w:rsidRPr="00B331AA">
        <w:rPr>
          <w:rFonts w:cs="Arial"/>
          <w:sz w:val="28"/>
          <w:szCs w:val="28"/>
        </w:rPr>
        <w:t xml:space="preserve">en situación de </w:t>
      </w:r>
      <w:r w:rsidRPr="00B331AA">
        <w:rPr>
          <w:rFonts w:cs="Arial"/>
          <w:sz w:val="28"/>
          <w:szCs w:val="28"/>
        </w:rPr>
        <w:t>vulnerab</w:t>
      </w:r>
      <w:r w:rsidR="00C764D6" w:rsidRPr="00B331AA">
        <w:rPr>
          <w:rFonts w:cs="Arial"/>
          <w:sz w:val="28"/>
          <w:szCs w:val="28"/>
        </w:rPr>
        <w:t>ilidad</w:t>
      </w:r>
      <w:r w:rsidRPr="00B331AA">
        <w:rPr>
          <w:rFonts w:cs="Arial"/>
          <w:sz w:val="28"/>
          <w:szCs w:val="28"/>
        </w:rPr>
        <w:t xml:space="preserve">, entre los que se encuentran las personas con discapacidad, constituyendo una herramienta clave para la puesta en marcha del Pilar Social. A través del Pilar Social se debería incidir en la aplicación del FSE en los Estados Miembro, de modo que el reparto de los fondos guarde la máxima coherencia con las tasas </w:t>
      </w:r>
      <w:r w:rsidR="00FB7C92" w:rsidRPr="00B331AA">
        <w:rPr>
          <w:rFonts w:cs="Arial"/>
          <w:sz w:val="28"/>
          <w:szCs w:val="28"/>
        </w:rPr>
        <w:t>de p</w:t>
      </w:r>
      <w:r w:rsidRPr="00B331AA">
        <w:rPr>
          <w:rFonts w:cs="Arial"/>
          <w:sz w:val="28"/>
          <w:szCs w:val="28"/>
        </w:rPr>
        <w:t>obreza y desempleo y no se base únicamente en criterios de riqueza o PIB.</w:t>
      </w:r>
    </w:p>
    <w:p w:rsidR="00FB7C92" w:rsidRPr="00B331AA" w:rsidRDefault="00FB7C92" w:rsidP="00FB7C92">
      <w:pPr>
        <w:tabs>
          <w:tab w:val="left" w:pos="426"/>
        </w:tabs>
        <w:jc w:val="both"/>
        <w:rPr>
          <w:rFonts w:cs="Arial"/>
          <w:sz w:val="28"/>
          <w:szCs w:val="28"/>
        </w:rPr>
      </w:pPr>
    </w:p>
    <w:p w:rsidR="00FB7C92" w:rsidRPr="00B331AA" w:rsidRDefault="00FB7C92" w:rsidP="00FB7C92">
      <w:pPr>
        <w:tabs>
          <w:tab w:val="left" w:pos="426"/>
        </w:tabs>
        <w:ind w:left="426"/>
        <w:jc w:val="both"/>
        <w:rPr>
          <w:rFonts w:cs="Arial"/>
          <w:b/>
          <w:sz w:val="28"/>
          <w:szCs w:val="28"/>
        </w:rPr>
      </w:pPr>
      <w:r w:rsidRPr="00B331AA">
        <w:rPr>
          <w:rFonts w:cs="Arial"/>
          <w:b/>
          <w:sz w:val="28"/>
          <w:szCs w:val="28"/>
        </w:rPr>
        <w:t>I.6. Igualdad de oportunidades</w:t>
      </w:r>
    </w:p>
    <w:p w:rsidR="00FB7C92" w:rsidRPr="00B331AA" w:rsidRDefault="00FB7C92" w:rsidP="00FB7C92">
      <w:pPr>
        <w:tabs>
          <w:tab w:val="left" w:pos="426"/>
        </w:tabs>
        <w:jc w:val="both"/>
        <w:rPr>
          <w:rFonts w:cs="Arial"/>
          <w:sz w:val="28"/>
          <w:szCs w:val="28"/>
        </w:rPr>
      </w:pPr>
    </w:p>
    <w:p w:rsidR="00FB7C92" w:rsidRPr="00B331AA" w:rsidRDefault="00FB7C92" w:rsidP="00FB7C92">
      <w:pPr>
        <w:tabs>
          <w:tab w:val="left" w:pos="851"/>
        </w:tabs>
        <w:jc w:val="both"/>
        <w:rPr>
          <w:rFonts w:cs="Arial"/>
          <w:sz w:val="28"/>
          <w:szCs w:val="28"/>
        </w:rPr>
      </w:pPr>
      <w:r w:rsidRPr="00B331AA">
        <w:rPr>
          <w:rFonts w:cs="Arial"/>
          <w:sz w:val="28"/>
          <w:szCs w:val="28"/>
        </w:rPr>
        <w:t xml:space="preserve">La acción de la Comisión Europea en relación con la Responsabilidad Social Corporativa, tomando como marco la </w:t>
      </w:r>
      <w:r w:rsidRPr="00B331AA">
        <w:rPr>
          <w:rFonts w:cs="Arial"/>
          <w:i/>
          <w:sz w:val="28"/>
          <w:szCs w:val="28"/>
        </w:rPr>
        <w:t>Comunicación de 2011 sobre la Estrategia Europea de RSC (COM (2011) 681 final)</w:t>
      </w:r>
      <w:r w:rsidRPr="00B331AA">
        <w:rPr>
          <w:rFonts w:cs="Arial"/>
          <w:sz w:val="28"/>
          <w:szCs w:val="28"/>
        </w:rPr>
        <w:t xml:space="preserve">, donde la discapacidad quedó incluida, debería servir de instrumento en el marco del Pilar Social, para promover el impacto positivo por parte de empresas, así como otras organizaciones privadas y públicas, en la inclusión social y laboral de las personas con discapacidad. Ello además, en línea con el </w:t>
      </w:r>
      <w:r w:rsidRPr="00B331AA">
        <w:rPr>
          <w:rFonts w:cs="Arial"/>
          <w:sz w:val="28"/>
          <w:szCs w:val="28"/>
        </w:rPr>
        <w:lastRenderedPageBreak/>
        <w:t xml:space="preserve">reconocimiento de la </w:t>
      </w:r>
      <w:r w:rsidR="00C764D6" w:rsidRPr="00B331AA">
        <w:rPr>
          <w:rFonts w:cs="Arial"/>
          <w:sz w:val="28"/>
          <w:szCs w:val="28"/>
        </w:rPr>
        <w:t xml:space="preserve">situación de </w:t>
      </w:r>
      <w:r w:rsidRPr="00B331AA">
        <w:rPr>
          <w:rFonts w:cs="Arial"/>
          <w:sz w:val="28"/>
          <w:szCs w:val="28"/>
        </w:rPr>
        <w:t xml:space="preserve">vulnerabilidad de las personas con discapacidad en el empleo como reto, según recoge la reciente Comunicación sobre Acción Europea para la Sostenibilidad, en particular en relación con el </w:t>
      </w:r>
      <w:r w:rsidRPr="00B331AA">
        <w:rPr>
          <w:rFonts w:cs="Arial"/>
          <w:i/>
          <w:sz w:val="28"/>
          <w:szCs w:val="28"/>
        </w:rPr>
        <w:t>Objetivo de Desarrollo Sostenible 8 “Promover el crecimiento económico sostenido, inclusivo y sostenible, el empleo pleno y productivo y el trabajo decente para todos” (COM (2016) 739 final)</w:t>
      </w:r>
      <w:r w:rsidRPr="00B331AA">
        <w:rPr>
          <w:rFonts w:cs="Arial"/>
          <w:sz w:val="28"/>
          <w:szCs w:val="28"/>
        </w:rPr>
        <w:t>.</w:t>
      </w:r>
    </w:p>
    <w:p w:rsidR="00FB7C92" w:rsidRPr="00B331AA" w:rsidRDefault="00FB7C92" w:rsidP="00FB7C92">
      <w:pPr>
        <w:jc w:val="both"/>
        <w:rPr>
          <w:rFonts w:cs="Arial"/>
          <w:sz w:val="28"/>
          <w:szCs w:val="28"/>
        </w:rPr>
      </w:pPr>
    </w:p>
    <w:p w:rsidR="00FB7C92" w:rsidRPr="00B331AA" w:rsidRDefault="00C764D6" w:rsidP="00FB7C92">
      <w:pPr>
        <w:jc w:val="both"/>
        <w:rPr>
          <w:rFonts w:cs="Arial"/>
          <w:sz w:val="28"/>
          <w:szCs w:val="28"/>
        </w:rPr>
      </w:pPr>
      <w:r w:rsidRPr="00B331AA">
        <w:rPr>
          <w:rFonts w:cs="Arial"/>
          <w:sz w:val="28"/>
          <w:szCs w:val="28"/>
        </w:rPr>
        <w:t>A este respecto, d</w:t>
      </w:r>
      <w:r w:rsidR="00FB7C92" w:rsidRPr="00B331AA">
        <w:rPr>
          <w:rFonts w:cs="Arial"/>
          <w:sz w:val="28"/>
          <w:szCs w:val="28"/>
        </w:rPr>
        <w:t>eberá promoverse la igualdad de acceso al empleo y de oportunidades laborales de las personas con discapacidad garantizando el cumplimiento de la normativa ya vigente en cuanto a:</w:t>
      </w:r>
    </w:p>
    <w:p w:rsidR="00C764D6" w:rsidRPr="00B331AA" w:rsidRDefault="00C764D6" w:rsidP="00FB7C92">
      <w:pPr>
        <w:jc w:val="both"/>
        <w:rPr>
          <w:rFonts w:cs="Arial"/>
          <w:sz w:val="28"/>
          <w:szCs w:val="28"/>
        </w:rPr>
      </w:pPr>
    </w:p>
    <w:p w:rsidR="00FB7C92" w:rsidRPr="00B331AA" w:rsidRDefault="00FB7C92" w:rsidP="00FB7C92">
      <w:pPr>
        <w:pStyle w:val="Prrafodelista"/>
        <w:numPr>
          <w:ilvl w:val="0"/>
          <w:numId w:val="3"/>
        </w:numPr>
        <w:jc w:val="both"/>
        <w:rPr>
          <w:rFonts w:cs="Arial"/>
          <w:sz w:val="28"/>
          <w:szCs w:val="28"/>
        </w:rPr>
      </w:pPr>
      <w:r w:rsidRPr="00B331AA">
        <w:rPr>
          <w:rFonts w:cs="Arial"/>
          <w:sz w:val="28"/>
          <w:szCs w:val="28"/>
        </w:rPr>
        <w:t>Incentivos (subvenciones y bonificaciones) a la contratación de personas con discapacidad.</w:t>
      </w:r>
    </w:p>
    <w:p w:rsidR="00FB7C92" w:rsidRPr="00B331AA" w:rsidRDefault="00FB7C92" w:rsidP="00FB7C92">
      <w:pPr>
        <w:pStyle w:val="Prrafodelista"/>
        <w:numPr>
          <w:ilvl w:val="0"/>
          <w:numId w:val="3"/>
        </w:numPr>
        <w:jc w:val="both"/>
        <w:rPr>
          <w:rFonts w:cs="Arial"/>
          <w:sz w:val="28"/>
          <w:szCs w:val="28"/>
        </w:rPr>
      </w:pPr>
      <w:r w:rsidRPr="00B331AA">
        <w:rPr>
          <w:rFonts w:cs="Arial"/>
          <w:sz w:val="28"/>
          <w:szCs w:val="28"/>
        </w:rPr>
        <w:t>Cuota de reserva de puestos de trabajo para personas con discapacidad en empresas públicas y privadas.</w:t>
      </w:r>
    </w:p>
    <w:p w:rsidR="00FB7C92" w:rsidRPr="00B331AA" w:rsidRDefault="00FB7C92" w:rsidP="00FB7C92">
      <w:pPr>
        <w:pStyle w:val="Prrafodelista"/>
        <w:numPr>
          <w:ilvl w:val="0"/>
          <w:numId w:val="3"/>
        </w:numPr>
        <w:jc w:val="both"/>
        <w:rPr>
          <w:rFonts w:cs="Arial"/>
          <w:sz w:val="28"/>
          <w:szCs w:val="28"/>
        </w:rPr>
      </w:pPr>
      <w:r w:rsidRPr="00B331AA">
        <w:rPr>
          <w:rFonts w:cs="Arial"/>
          <w:sz w:val="28"/>
          <w:szCs w:val="28"/>
        </w:rPr>
        <w:t xml:space="preserve">Cuota de reserva en la oferta de empleo público para personas con discapacidad. </w:t>
      </w:r>
    </w:p>
    <w:p w:rsidR="00FB7C92" w:rsidRPr="00B331AA" w:rsidRDefault="00FB7C92" w:rsidP="00FB7C92">
      <w:pPr>
        <w:ind w:left="360"/>
        <w:jc w:val="both"/>
        <w:rPr>
          <w:rFonts w:cs="Arial"/>
          <w:sz w:val="28"/>
          <w:szCs w:val="28"/>
        </w:rPr>
      </w:pPr>
    </w:p>
    <w:p w:rsidR="00FB7C92" w:rsidRPr="00B331AA" w:rsidRDefault="00FB7C92" w:rsidP="00FB7C92">
      <w:pPr>
        <w:pStyle w:val="Prrafodelista"/>
        <w:tabs>
          <w:tab w:val="left" w:pos="0"/>
        </w:tabs>
        <w:ind w:left="0"/>
        <w:contextualSpacing w:val="0"/>
        <w:jc w:val="both"/>
        <w:rPr>
          <w:rFonts w:cs="Arial"/>
          <w:b/>
          <w:sz w:val="28"/>
          <w:szCs w:val="28"/>
        </w:rPr>
      </w:pPr>
      <w:r w:rsidRPr="00B331AA">
        <w:rPr>
          <w:rFonts w:cs="Arial"/>
          <w:b/>
          <w:sz w:val="28"/>
          <w:szCs w:val="28"/>
        </w:rPr>
        <w:t>Capítulo II: Condiciones de trabajo justas</w:t>
      </w:r>
    </w:p>
    <w:p w:rsidR="00C764D6" w:rsidRPr="00B331AA" w:rsidRDefault="00C764D6" w:rsidP="00FB7C92">
      <w:pPr>
        <w:pStyle w:val="Prrafodelista"/>
        <w:tabs>
          <w:tab w:val="left" w:pos="0"/>
        </w:tabs>
        <w:ind w:left="0"/>
        <w:contextualSpacing w:val="0"/>
        <w:jc w:val="both"/>
        <w:rPr>
          <w:rFonts w:cs="Arial"/>
          <w:b/>
          <w:sz w:val="28"/>
          <w:szCs w:val="28"/>
        </w:rPr>
      </w:pPr>
    </w:p>
    <w:p w:rsidR="00FB7C92" w:rsidRPr="00B331AA" w:rsidRDefault="00FB7C92" w:rsidP="00FB7C92">
      <w:pPr>
        <w:tabs>
          <w:tab w:val="left" w:pos="426"/>
        </w:tabs>
        <w:ind w:left="426"/>
        <w:jc w:val="both"/>
        <w:rPr>
          <w:rFonts w:cs="Arial"/>
          <w:b/>
          <w:sz w:val="28"/>
          <w:szCs w:val="28"/>
        </w:rPr>
      </w:pPr>
      <w:r w:rsidRPr="00B331AA">
        <w:rPr>
          <w:rFonts w:cs="Arial"/>
          <w:b/>
          <w:sz w:val="28"/>
          <w:szCs w:val="28"/>
        </w:rPr>
        <w:t>II.9. Salud y seguridad en el trabajo</w:t>
      </w:r>
    </w:p>
    <w:p w:rsidR="00C764D6" w:rsidRPr="00B331AA" w:rsidRDefault="00C764D6" w:rsidP="00FB7C92">
      <w:pPr>
        <w:tabs>
          <w:tab w:val="left" w:pos="426"/>
        </w:tabs>
        <w:ind w:left="426"/>
        <w:jc w:val="both"/>
        <w:rPr>
          <w:rFonts w:cs="Arial"/>
          <w:b/>
          <w:sz w:val="28"/>
          <w:szCs w:val="28"/>
        </w:rPr>
      </w:pPr>
    </w:p>
    <w:p w:rsidR="00FB7C92" w:rsidRPr="00B331AA" w:rsidRDefault="00FB7C92" w:rsidP="00FB7C92">
      <w:pPr>
        <w:numPr>
          <w:ilvl w:val="0"/>
          <w:numId w:val="2"/>
        </w:numPr>
        <w:jc w:val="both"/>
        <w:rPr>
          <w:rFonts w:cs="Arial"/>
          <w:sz w:val="28"/>
          <w:szCs w:val="28"/>
        </w:rPr>
      </w:pPr>
      <w:r w:rsidRPr="00B331AA">
        <w:rPr>
          <w:rFonts w:cs="Arial"/>
          <w:sz w:val="28"/>
          <w:szCs w:val="28"/>
        </w:rPr>
        <w:t>En consonancia con el Artículo 27, Trabajo y empleo, de la Convención sobre los Derechos de las Personas con Discapacidad de Naciones Unidas (CRPD), deberán promoverse los ajustes razonables en el lugar de trabajo que permitan a las personas con discapacidad</w:t>
      </w:r>
      <w:r w:rsidR="00C764D6" w:rsidRPr="00B331AA">
        <w:rPr>
          <w:rFonts w:cs="Arial"/>
          <w:sz w:val="28"/>
          <w:szCs w:val="28"/>
        </w:rPr>
        <w:t xml:space="preserve"> </w:t>
      </w:r>
      <w:r w:rsidRPr="00B331AA">
        <w:rPr>
          <w:rFonts w:cs="Arial"/>
          <w:sz w:val="28"/>
          <w:szCs w:val="28"/>
        </w:rPr>
        <w:t>su desempeño efectivo y seguro.</w:t>
      </w:r>
    </w:p>
    <w:p w:rsidR="00C764D6" w:rsidRPr="00B331AA" w:rsidRDefault="00C764D6" w:rsidP="00C764D6">
      <w:pPr>
        <w:ind w:left="1068"/>
        <w:jc w:val="both"/>
        <w:rPr>
          <w:rFonts w:cs="Arial"/>
          <w:sz w:val="28"/>
          <w:szCs w:val="28"/>
        </w:rPr>
      </w:pPr>
    </w:p>
    <w:p w:rsidR="00FB7C92" w:rsidRPr="00B331AA" w:rsidRDefault="00FB7C92" w:rsidP="00FB7C92">
      <w:pPr>
        <w:pStyle w:val="Prrafodelista"/>
        <w:tabs>
          <w:tab w:val="left" w:pos="0"/>
        </w:tabs>
        <w:ind w:left="0"/>
        <w:contextualSpacing w:val="0"/>
        <w:jc w:val="both"/>
        <w:rPr>
          <w:rFonts w:cs="Arial"/>
          <w:b/>
          <w:sz w:val="28"/>
          <w:szCs w:val="28"/>
        </w:rPr>
      </w:pPr>
      <w:r w:rsidRPr="00B331AA">
        <w:rPr>
          <w:rFonts w:cs="Arial"/>
          <w:b/>
          <w:sz w:val="28"/>
          <w:szCs w:val="28"/>
        </w:rPr>
        <w:t>Capítulo III: Protección social adecuada y sostenible</w:t>
      </w:r>
    </w:p>
    <w:p w:rsidR="00C764D6" w:rsidRPr="00B331AA" w:rsidRDefault="00C764D6" w:rsidP="00FB7C92">
      <w:pPr>
        <w:pStyle w:val="Prrafodelista"/>
        <w:tabs>
          <w:tab w:val="left" w:pos="0"/>
        </w:tabs>
        <w:ind w:left="0"/>
        <w:contextualSpacing w:val="0"/>
        <w:jc w:val="both"/>
        <w:rPr>
          <w:rFonts w:cs="Arial"/>
          <w:b/>
          <w:sz w:val="28"/>
          <w:szCs w:val="28"/>
        </w:rPr>
      </w:pPr>
    </w:p>
    <w:p w:rsidR="00FB7C92" w:rsidRPr="00B331AA" w:rsidRDefault="00FB7C92" w:rsidP="00FB7C92">
      <w:pPr>
        <w:tabs>
          <w:tab w:val="left" w:pos="426"/>
        </w:tabs>
        <w:ind w:left="426"/>
        <w:jc w:val="both"/>
        <w:rPr>
          <w:rFonts w:cs="Arial"/>
          <w:b/>
          <w:sz w:val="28"/>
          <w:szCs w:val="28"/>
        </w:rPr>
      </w:pPr>
      <w:r w:rsidRPr="00B331AA">
        <w:rPr>
          <w:rFonts w:cs="Arial"/>
          <w:b/>
          <w:sz w:val="28"/>
          <w:szCs w:val="28"/>
        </w:rPr>
        <w:t>III.12. Asistencia sanitaria y prestaciones por enfermedad</w:t>
      </w:r>
    </w:p>
    <w:p w:rsidR="00C764D6" w:rsidRPr="00B331AA" w:rsidRDefault="00C764D6" w:rsidP="00FB7C92">
      <w:pPr>
        <w:tabs>
          <w:tab w:val="left" w:pos="426"/>
        </w:tabs>
        <w:ind w:left="426"/>
        <w:jc w:val="both"/>
        <w:rPr>
          <w:rFonts w:cs="Arial"/>
          <w:b/>
          <w:sz w:val="28"/>
          <w:szCs w:val="28"/>
        </w:rPr>
      </w:pPr>
    </w:p>
    <w:p w:rsidR="00FB7C92" w:rsidRPr="00B331AA" w:rsidRDefault="00FB7C92" w:rsidP="00FB7C92">
      <w:pPr>
        <w:numPr>
          <w:ilvl w:val="0"/>
          <w:numId w:val="2"/>
        </w:numPr>
        <w:jc w:val="both"/>
        <w:rPr>
          <w:rFonts w:cs="Arial"/>
          <w:sz w:val="28"/>
          <w:szCs w:val="28"/>
        </w:rPr>
      </w:pPr>
      <w:r w:rsidRPr="00B331AA">
        <w:rPr>
          <w:rFonts w:cs="Arial"/>
          <w:sz w:val="28"/>
          <w:szCs w:val="28"/>
        </w:rPr>
        <w:t>De acuerdo al Artículo 19, Derecho a vivir de forma independiente y a ser incluido en la comunidad, Artículo 20, Movilidad personal y Artículo 25, Salud y Artículo 26, Habilitación y rehabilitación, de la Convención sobre los Derechos de las Personas con Discapacidad de Naciones Unidas (CRPD), deberán promoverse aquellos servicios de salud y comunitarios orientados a la promoción de la autonomía personal, de la vida en comunidad, y de la inclusión social plena de las personas con discapacidad desde las etapas más tempranas posibles.</w:t>
      </w:r>
    </w:p>
    <w:p w:rsidR="00563B36" w:rsidRPr="00B331AA" w:rsidRDefault="00563B36" w:rsidP="00563B36">
      <w:pPr>
        <w:ind w:left="1068"/>
        <w:jc w:val="both"/>
        <w:rPr>
          <w:rFonts w:cs="Arial"/>
          <w:sz w:val="28"/>
          <w:szCs w:val="28"/>
        </w:rPr>
      </w:pPr>
    </w:p>
    <w:p w:rsidR="00FB7C92" w:rsidRPr="00B331AA" w:rsidRDefault="00FB7C92" w:rsidP="00FB7C92">
      <w:pPr>
        <w:tabs>
          <w:tab w:val="left" w:pos="426"/>
        </w:tabs>
        <w:ind w:left="426"/>
        <w:jc w:val="both"/>
        <w:rPr>
          <w:rFonts w:cs="Arial"/>
          <w:b/>
          <w:sz w:val="28"/>
          <w:szCs w:val="28"/>
        </w:rPr>
      </w:pPr>
      <w:r w:rsidRPr="00B331AA">
        <w:rPr>
          <w:rFonts w:cs="Arial"/>
          <w:b/>
          <w:sz w:val="28"/>
          <w:szCs w:val="28"/>
        </w:rPr>
        <w:lastRenderedPageBreak/>
        <w:t>III.16. Prestaciones por discapacidad</w:t>
      </w:r>
    </w:p>
    <w:p w:rsidR="00C764D6" w:rsidRPr="00B331AA" w:rsidRDefault="00C764D6" w:rsidP="00FB7C92">
      <w:pPr>
        <w:tabs>
          <w:tab w:val="left" w:pos="426"/>
        </w:tabs>
        <w:ind w:left="426"/>
        <w:jc w:val="both"/>
        <w:rPr>
          <w:rFonts w:cs="Arial"/>
          <w:b/>
          <w:sz w:val="28"/>
          <w:szCs w:val="28"/>
        </w:rPr>
      </w:pPr>
    </w:p>
    <w:p w:rsidR="00FB7C92" w:rsidRPr="00B331AA" w:rsidRDefault="00FB7C92" w:rsidP="00FB7C92">
      <w:pPr>
        <w:numPr>
          <w:ilvl w:val="0"/>
          <w:numId w:val="2"/>
        </w:numPr>
        <w:jc w:val="both"/>
        <w:rPr>
          <w:rFonts w:cs="Arial"/>
          <w:sz w:val="28"/>
          <w:szCs w:val="28"/>
        </w:rPr>
      </w:pPr>
      <w:r w:rsidRPr="00B331AA">
        <w:rPr>
          <w:rFonts w:cs="Arial"/>
          <w:sz w:val="28"/>
          <w:szCs w:val="28"/>
        </w:rPr>
        <w:t>De conformidad con el Artículo 28, Nivel de vida adecuado y protección social, de la Convención sobre los Derechos de las Personas con Discapacidad de Naciones Unidas (CRPD), y complementariamente a aquellas que aseguren unas condiciones de bienestar (renta básica) ante las situaciones de precariedad de ingresos o ausencia de empleo, deberán asegurarse las prestaciones que compensen los gastos adicionales derivados de la discapacidad, especialmente por lo que se refiere a la adquisición de productos de apoyo, rehabilitación y accesibilidad de la vivienda.</w:t>
      </w:r>
    </w:p>
    <w:p w:rsidR="00C764D6" w:rsidRPr="00B331AA" w:rsidRDefault="00C764D6" w:rsidP="00C764D6">
      <w:pPr>
        <w:jc w:val="both"/>
        <w:rPr>
          <w:rFonts w:cs="Arial"/>
          <w:sz w:val="28"/>
          <w:szCs w:val="28"/>
        </w:rPr>
      </w:pPr>
    </w:p>
    <w:p w:rsidR="00563B36" w:rsidRPr="00B331AA" w:rsidRDefault="00563B36" w:rsidP="00C764D6">
      <w:pPr>
        <w:jc w:val="both"/>
        <w:rPr>
          <w:rFonts w:cs="Arial"/>
          <w:sz w:val="28"/>
          <w:szCs w:val="28"/>
        </w:rPr>
      </w:pPr>
    </w:p>
    <w:p w:rsidR="00563B36" w:rsidRPr="00B331AA" w:rsidRDefault="00563B36" w:rsidP="00C764D6">
      <w:pPr>
        <w:jc w:val="both"/>
        <w:rPr>
          <w:rFonts w:cs="Arial"/>
          <w:sz w:val="28"/>
          <w:szCs w:val="28"/>
        </w:rPr>
      </w:pPr>
    </w:p>
    <w:p w:rsidR="00FB7C92" w:rsidRPr="00B331AA" w:rsidRDefault="00FB7C92" w:rsidP="00FB7C92">
      <w:pPr>
        <w:tabs>
          <w:tab w:val="left" w:pos="426"/>
        </w:tabs>
        <w:ind w:left="426"/>
        <w:jc w:val="both"/>
        <w:rPr>
          <w:rFonts w:cs="Arial"/>
          <w:b/>
          <w:sz w:val="28"/>
          <w:szCs w:val="28"/>
        </w:rPr>
      </w:pPr>
      <w:r w:rsidRPr="00B331AA">
        <w:rPr>
          <w:rFonts w:cs="Arial"/>
          <w:b/>
          <w:sz w:val="28"/>
          <w:szCs w:val="28"/>
        </w:rPr>
        <w:t>III.20. Acceso a los servicios esenciales</w:t>
      </w:r>
    </w:p>
    <w:p w:rsidR="00C764D6" w:rsidRPr="00B331AA" w:rsidRDefault="00C764D6" w:rsidP="00FB7C92">
      <w:pPr>
        <w:tabs>
          <w:tab w:val="left" w:pos="426"/>
        </w:tabs>
        <w:ind w:left="426"/>
        <w:jc w:val="both"/>
        <w:rPr>
          <w:rFonts w:cs="Arial"/>
          <w:b/>
          <w:sz w:val="28"/>
          <w:szCs w:val="28"/>
        </w:rPr>
      </w:pPr>
    </w:p>
    <w:p w:rsidR="00FB7C92" w:rsidRPr="00B331AA" w:rsidRDefault="00FB7C92" w:rsidP="00FB7C92">
      <w:pPr>
        <w:numPr>
          <w:ilvl w:val="0"/>
          <w:numId w:val="2"/>
        </w:numPr>
        <w:jc w:val="both"/>
        <w:rPr>
          <w:rFonts w:cs="Arial"/>
          <w:sz w:val="28"/>
          <w:szCs w:val="28"/>
        </w:rPr>
      </w:pPr>
      <w:r w:rsidRPr="00B331AA">
        <w:rPr>
          <w:rFonts w:cs="Arial"/>
          <w:sz w:val="28"/>
          <w:szCs w:val="28"/>
        </w:rPr>
        <w:t>De conformidad con el Artículo 9, Accesibilidad, de la Convención sobre los Derechos de las Personas con Discapacidad de Naciones Unidas (CRPD), se deberán garantizar la aplicación de la normativa vigente y promover medidas pertinentes para asegurar el acceso de las personas con discapacidad, en general, y con discapacidad visual, en particular, y en igualdad de condiciones con las demás, a los siguientes servicios:</w:t>
      </w:r>
    </w:p>
    <w:p w:rsidR="00C764D6" w:rsidRPr="00B331AA" w:rsidRDefault="00C764D6" w:rsidP="00C764D6">
      <w:pPr>
        <w:ind w:left="1068"/>
        <w:jc w:val="both"/>
        <w:rPr>
          <w:rFonts w:cs="Arial"/>
          <w:sz w:val="28"/>
          <w:szCs w:val="28"/>
        </w:rPr>
      </w:pPr>
    </w:p>
    <w:p w:rsidR="00FB7C92" w:rsidRPr="00B331AA" w:rsidRDefault="00FB7C92" w:rsidP="00FB7C92">
      <w:pPr>
        <w:numPr>
          <w:ilvl w:val="1"/>
          <w:numId w:val="2"/>
        </w:numPr>
        <w:ind w:left="1786" w:hanging="357"/>
        <w:jc w:val="both"/>
        <w:rPr>
          <w:rFonts w:cs="Arial"/>
          <w:sz w:val="28"/>
          <w:szCs w:val="28"/>
        </w:rPr>
      </w:pPr>
      <w:r w:rsidRPr="00B331AA">
        <w:rPr>
          <w:rFonts w:cs="Arial"/>
          <w:sz w:val="28"/>
          <w:szCs w:val="28"/>
        </w:rPr>
        <w:t>Espacios públicos urbanizados y edificaciones.</w:t>
      </w:r>
    </w:p>
    <w:p w:rsidR="00FB7C92" w:rsidRPr="00B331AA" w:rsidRDefault="00FB7C92" w:rsidP="00FB7C92">
      <w:pPr>
        <w:numPr>
          <w:ilvl w:val="1"/>
          <w:numId w:val="2"/>
        </w:numPr>
        <w:ind w:left="1786" w:hanging="357"/>
        <w:jc w:val="both"/>
        <w:rPr>
          <w:rFonts w:cs="Arial"/>
          <w:sz w:val="28"/>
          <w:szCs w:val="28"/>
        </w:rPr>
      </w:pPr>
      <w:r w:rsidRPr="00B331AA">
        <w:rPr>
          <w:rFonts w:cs="Arial"/>
          <w:sz w:val="28"/>
          <w:szCs w:val="28"/>
        </w:rPr>
        <w:t>Medios de transporte.</w:t>
      </w:r>
    </w:p>
    <w:p w:rsidR="00FB7C92" w:rsidRPr="00B331AA" w:rsidRDefault="00FB7C92" w:rsidP="00FB7C92">
      <w:pPr>
        <w:numPr>
          <w:ilvl w:val="1"/>
          <w:numId w:val="2"/>
        </w:numPr>
        <w:ind w:left="1786" w:hanging="357"/>
        <w:jc w:val="both"/>
        <w:rPr>
          <w:rFonts w:cs="Arial"/>
          <w:sz w:val="28"/>
          <w:szCs w:val="28"/>
        </w:rPr>
      </w:pPr>
      <w:r w:rsidRPr="00B331AA">
        <w:rPr>
          <w:rFonts w:cs="Arial"/>
          <w:sz w:val="28"/>
          <w:szCs w:val="28"/>
        </w:rPr>
        <w:t>Información y comunicaciones, incluidos los sistemas y las tecnologías de la información y las comunicaciones.</w:t>
      </w:r>
    </w:p>
    <w:p w:rsidR="00FB7C92" w:rsidRPr="00B331AA" w:rsidRDefault="00FB7C92" w:rsidP="00FB7C92">
      <w:pPr>
        <w:numPr>
          <w:ilvl w:val="1"/>
          <w:numId w:val="2"/>
        </w:numPr>
        <w:ind w:left="1786" w:hanging="357"/>
        <w:jc w:val="both"/>
        <w:rPr>
          <w:rFonts w:cs="Arial"/>
          <w:sz w:val="28"/>
          <w:szCs w:val="28"/>
        </w:rPr>
      </w:pPr>
      <w:r w:rsidRPr="00B331AA">
        <w:rPr>
          <w:rFonts w:cs="Arial"/>
          <w:sz w:val="28"/>
          <w:szCs w:val="28"/>
        </w:rPr>
        <w:t xml:space="preserve">Oficinas públicas, dispositivos y servicios de atención al ciudadano y aquellos de participación en los asuntos públicos, incluidos los relativos a la Administración de Justicia y a la participación en la </w:t>
      </w:r>
      <w:r w:rsidRPr="00B331AA">
        <w:rPr>
          <w:rFonts w:ascii="Calibri-Italic" w:hAnsi="Calibri-Italic" w:cs="Calibri-Italic"/>
          <w:i/>
          <w:sz w:val="28"/>
          <w:szCs w:val="28"/>
        </w:rPr>
        <w:t>vida política y los procesos electorales (voto accesible)</w:t>
      </w:r>
      <w:r w:rsidRPr="00B331AA">
        <w:rPr>
          <w:rFonts w:ascii="Calibri-Italic" w:hAnsi="Calibri-Italic" w:cs="Calibri-Italic"/>
          <w:sz w:val="28"/>
          <w:szCs w:val="28"/>
        </w:rPr>
        <w:t>.</w:t>
      </w:r>
    </w:p>
    <w:p w:rsidR="00FB7C92" w:rsidRPr="00B331AA" w:rsidRDefault="00FB7C92" w:rsidP="00FB7C92">
      <w:pPr>
        <w:numPr>
          <w:ilvl w:val="1"/>
          <w:numId w:val="2"/>
        </w:numPr>
        <w:jc w:val="both"/>
        <w:rPr>
          <w:rFonts w:cs="Arial"/>
          <w:sz w:val="28"/>
          <w:szCs w:val="28"/>
        </w:rPr>
      </w:pPr>
      <w:r w:rsidRPr="00B331AA">
        <w:rPr>
          <w:rFonts w:cs="Arial"/>
          <w:sz w:val="28"/>
          <w:szCs w:val="28"/>
        </w:rPr>
        <w:t>Otros servicios e instalaciones abiertos al público o de uso público, tanto en zonas urbanas como rurales, públicos o privados, con especial consideración de los entornos educativos, laborales y recreativos-culturales.</w:t>
      </w:r>
    </w:p>
    <w:p w:rsidR="00B331AA" w:rsidRPr="00B331AA" w:rsidRDefault="00B331AA" w:rsidP="00B331AA">
      <w:pPr>
        <w:ind w:left="1068"/>
        <w:jc w:val="both"/>
        <w:rPr>
          <w:rFonts w:cs="Arial"/>
          <w:sz w:val="28"/>
          <w:szCs w:val="28"/>
        </w:rPr>
      </w:pPr>
    </w:p>
    <w:p w:rsidR="00B331AA" w:rsidRPr="00B331AA" w:rsidRDefault="00B331AA" w:rsidP="00B331AA">
      <w:pPr>
        <w:ind w:left="1068"/>
        <w:jc w:val="both"/>
        <w:rPr>
          <w:rFonts w:cs="Arial"/>
          <w:sz w:val="28"/>
          <w:szCs w:val="28"/>
        </w:rPr>
      </w:pPr>
    </w:p>
    <w:p w:rsidR="00B331AA" w:rsidRPr="00B331AA" w:rsidRDefault="00B331AA" w:rsidP="00B331AA">
      <w:pPr>
        <w:ind w:left="1068"/>
        <w:jc w:val="both"/>
        <w:rPr>
          <w:rFonts w:cs="Arial"/>
          <w:sz w:val="28"/>
          <w:szCs w:val="28"/>
        </w:rPr>
      </w:pPr>
    </w:p>
    <w:p w:rsidR="00B331AA" w:rsidRPr="00B331AA" w:rsidRDefault="00B331AA" w:rsidP="00B331AA">
      <w:pPr>
        <w:ind w:left="1068"/>
        <w:jc w:val="both"/>
        <w:rPr>
          <w:rFonts w:cs="Arial"/>
          <w:sz w:val="28"/>
          <w:szCs w:val="28"/>
        </w:rPr>
      </w:pPr>
    </w:p>
    <w:p w:rsidR="00B331AA" w:rsidRPr="00B331AA" w:rsidRDefault="00077AE2" w:rsidP="00B331AA">
      <w:pPr>
        <w:ind w:left="1068"/>
        <w:jc w:val="center"/>
        <w:rPr>
          <w:rFonts w:cs="Arial"/>
          <w:sz w:val="28"/>
          <w:szCs w:val="28"/>
        </w:rPr>
      </w:pPr>
      <w:hyperlink r:id="rId14" w:history="1">
        <w:r w:rsidR="00B331AA" w:rsidRPr="00B331AA">
          <w:rPr>
            <w:rStyle w:val="Hipervnculo"/>
            <w:rFonts w:cs="Arial"/>
            <w:sz w:val="28"/>
            <w:szCs w:val="28"/>
          </w:rPr>
          <w:t>www.cermi.es</w:t>
        </w:r>
      </w:hyperlink>
    </w:p>
    <w:p w:rsidR="00B331AA" w:rsidRPr="00FB7C92" w:rsidRDefault="00B331AA" w:rsidP="00B331AA">
      <w:pPr>
        <w:ind w:left="1068"/>
        <w:jc w:val="both"/>
        <w:rPr>
          <w:rFonts w:cs="Arial"/>
        </w:rPr>
      </w:pPr>
    </w:p>
    <w:sectPr w:rsidR="00B331AA" w:rsidRPr="00FB7C92" w:rsidSect="00B331AA">
      <w:headerReference w:type="default" r:id="rId15"/>
      <w:footerReference w:type="default" r:id="rId16"/>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54" w:rsidRDefault="005C5854" w:rsidP="00E25D0B">
      <w:r>
        <w:separator/>
      </w:r>
    </w:p>
  </w:endnote>
  <w:endnote w:type="continuationSeparator" w:id="0">
    <w:p w:rsidR="005C5854" w:rsidRDefault="005C5854" w:rsidP="00E2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49535"/>
      <w:docPartObj>
        <w:docPartGallery w:val="Page Numbers (Bottom of Page)"/>
        <w:docPartUnique/>
      </w:docPartObj>
    </w:sdtPr>
    <w:sdtEndPr/>
    <w:sdtContent>
      <w:p w:rsidR="00B331AA" w:rsidRDefault="00B331AA">
        <w:pPr>
          <w:pStyle w:val="Piedepgina"/>
          <w:jc w:val="right"/>
        </w:pPr>
        <w:r>
          <w:fldChar w:fldCharType="begin"/>
        </w:r>
        <w:r>
          <w:instrText>PAGE   \* MERGEFORMAT</w:instrText>
        </w:r>
        <w:r>
          <w:fldChar w:fldCharType="separate"/>
        </w:r>
        <w:r w:rsidR="00077AE2">
          <w:rPr>
            <w:noProof/>
          </w:rPr>
          <w:t>1</w:t>
        </w:r>
        <w:r>
          <w:fldChar w:fldCharType="end"/>
        </w:r>
      </w:p>
    </w:sdtContent>
  </w:sdt>
  <w:p w:rsidR="00B331AA" w:rsidRDefault="00B331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54" w:rsidRDefault="005C5854" w:rsidP="00E25D0B">
      <w:r>
        <w:separator/>
      </w:r>
    </w:p>
  </w:footnote>
  <w:footnote w:type="continuationSeparator" w:id="0">
    <w:p w:rsidR="005C5854" w:rsidRDefault="005C5854" w:rsidP="00E2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94" w:rsidRDefault="00274E94">
    <w:pPr>
      <w:pStyle w:val="Encabezado"/>
    </w:pPr>
  </w:p>
  <w:p w:rsidR="00274E94" w:rsidRDefault="00274E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DB5"/>
    <w:multiLevelType w:val="hybridMultilevel"/>
    <w:tmpl w:val="B1825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E05AD5"/>
    <w:multiLevelType w:val="hybridMultilevel"/>
    <w:tmpl w:val="CC62848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62621904"/>
    <w:multiLevelType w:val="hybridMultilevel"/>
    <w:tmpl w:val="ED6E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B"/>
    <w:rsid w:val="000042A2"/>
    <w:rsid w:val="000105BA"/>
    <w:rsid w:val="00010D17"/>
    <w:rsid w:val="0001402E"/>
    <w:rsid w:val="0001457A"/>
    <w:rsid w:val="0001530E"/>
    <w:rsid w:val="00015F44"/>
    <w:rsid w:val="00016ABA"/>
    <w:rsid w:val="00017D1E"/>
    <w:rsid w:val="00022220"/>
    <w:rsid w:val="00024375"/>
    <w:rsid w:val="00025F7C"/>
    <w:rsid w:val="000277EC"/>
    <w:rsid w:val="00030516"/>
    <w:rsid w:val="00030FA4"/>
    <w:rsid w:val="0003412A"/>
    <w:rsid w:val="00040478"/>
    <w:rsid w:val="000423A4"/>
    <w:rsid w:val="0004510B"/>
    <w:rsid w:val="00045D69"/>
    <w:rsid w:val="00046B18"/>
    <w:rsid w:val="00050648"/>
    <w:rsid w:val="00052708"/>
    <w:rsid w:val="0005746D"/>
    <w:rsid w:val="000575B9"/>
    <w:rsid w:val="00057AFA"/>
    <w:rsid w:val="000617C3"/>
    <w:rsid w:val="00063502"/>
    <w:rsid w:val="00064FC7"/>
    <w:rsid w:val="00071FF2"/>
    <w:rsid w:val="0007334A"/>
    <w:rsid w:val="00076B28"/>
    <w:rsid w:val="00077AE2"/>
    <w:rsid w:val="00077B95"/>
    <w:rsid w:val="00080143"/>
    <w:rsid w:val="0008051D"/>
    <w:rsid w:val="00087C64"/>
    <w:rsid w:val="000911BA"/>
    <w:rsid w:val="00093DEE"/>
    <w:rsid w:val="00093E95"/>
    <w:rsid w:val="000962F3"/>
    <w:rsid w:val="00097802"/>
    <w:rsid w:val="000A0DAE"/>
    <w:rsid w:val="000A34F2"/>
    <w:rsid w:val="000A38AF"/>
    <w:rsid w:val="000A4D8F"/>
    <w:rsid w:val="000B608C"/>
    <w:rsid w:val="000B7F7A"/>
    <w:rsid w:val="000C499A"/>
    <w:rsid w:val="000C52FB"/>
    <w:rsid w:val="000C649D"/>
    <w:rsid w:val="000C7B9A"/>
    <w:rsid w:val="000D3F9E"/>
    <w:rsid w:val="000D54CC"/>
    <w:rsid w:val="000D6656"/>
    <w:rsid w:val="000D6D16"/>
    <w:rsid w:val="000E05B9"/>
    <w:rsid w:val="000E0978"/>
    <w:rsid w:val="000E1F58"/>
    <w:rsid w:val="000E2713"/>
    <w:rsid w:val="000E46E8"/>
    <w:rsid w:val="000E4943"/>
    <w:rsid w:val="000E6907"/>
    <w:rsid w:val="000F1B8F"/>
    <w:rsid w:val="000F1E77"/>
    <w:rsid w:val="000F1F03"/>
    <w:rsid w:val="000F2397"/>
    <w:rsid w:val="000F7A62"/>
    <w:rsid w:val="000F7DAE"/>
    <w:rsid w:val="00100CA5"/>
    <w:rsid w:val="001032D1"/>
    <w:rsid w:val="001055AA"/>
    <w:rsid w:val="00105C3D"/>
    <w:rsid w:val="00107F58"/>
    <w:rsid w:val="001142F1"/>
    <w:rsid w:val="001154C9"/>
    <w:rsid w:val="00117E73"/>
    <w:rsid w:val="0012062A"/>
    <w:rsid w:val="00122A0A"/>
    <w:rsid w:val="00125099"/>
    <w:rsid w:val="00125129"/>
    <w:rsid w:val="00126EF4"/>
    <w:rsid w:val="00130FDF"/>
    <w:rsid w:val="001344DE"/>
    <w:rsid w:val="001359D6"/>
    <w:rsid w:val="001367BE"/>
    <w:rsid w:val="00142EE5"/>
    <w:rsid w:val="00144475"/>
    <w:rsid w:val="0014537B"/>
    <w:rsid w:val="001505D4"/>
    <w:rsid w:val="00155886"/>
    <w:rsid w:val="0015596B"/>
    <w:rsid w:val="001564E6"/>
    <w:rsid w:val="00162681"/>
    <w:rsid w:val="00164111"/>
    <w:rsid w:val="0016481B"/>
    <w:rsid w:val="00164F54"/>
    <w:rsid w:val="0016514E"/>
    <w:rsid w:val="001671E1"/>
    <w:rsid w:val="00167A86"/>
    <w:rsid w:val="0017061A"/>
    <w:rsid w:val="00173C24"/>
    <w:rsid w:val="0017620D"/>
    <w:rsid w:val="001763C9"/>
    <w:rsid w:val="001778FF"/>
    <w:rsid w:val="00185B5E"/>
    <w:rsid w:val="00186F15"/>
    <w:rsid w:val="0019128E"/>
    <w:rsid w:val="0019287B"/>
    <w:rsid w:val="00192A84"/>
    <w:rsid w:val="00194119"/>
    <w:rsid w:val="0019517D"/>
    <w:rsid w:val="00196509"/>
    <w:rsid w:val="00196613"/>
    <w:rsid w:val="00197D07"/>
    <w:rsid w:val="001A02D7"/>
    <w:rsid w:val="001A2814"/>
    <w:rsid w:val="001A2D4D"/>
    <w:rsid w:val="001A348D"/>
    <w:rsid w:val="001A56FC"/>
    <w:rsid w:val="001A5968"/>
    <w:rsid w:val="001A6184"/>
    <w:rsid w:val="001B0930"/>
    <w:rsid w:val="001B25C5"/>
    <w:rsid w:val="001B2BBC"/>
    <w:rsid w:val="001B36F3"/>
    <w:rsid w:val="001B41B2"/>
    <w:rsid w:val="001B73F7"/>
    <w:rsid w:val="001C02B7"/>
    <w:rsid w:val="001C04C3"/>
    <w:rsid w:val="001C0CBD"/>
    <w:rsid w:val="001C0E94"/>
    <w:rsid w:val="001C1EEA"/>
    <w:rsid w:val="001C276B"/>
    <w:rsid w:val="001C4C06"/>
    <w:rsid w:val="001D12CF"/>
    <w:rsid w:val="001D17B2"/>
    <w:rsid w:val="001D31FA"/>
    <w:rsid w:val="001D45B0"/>
    <w:rsid w:val="001D68B0"/>
    <w:rsid w:val="001D7200"/>
    <w:rsid w:val="001E05FB"/>
    <w:rsid w:val="001E174B"/>
    <w:rsid w:val="001E46A1"/>
    <w:rsid w:val="001E67CB"/>
    <w:rsid w:val="001E7C04"/>
    <w:rsid w:val="001F27CC"/>
    <w:rsid w:val="001F41C8"/>
    <w:rsid w:val="001F4C39"/>
    <w:rsid w:val="001F7752"/>
    <w:rsid w:val="001F7DAC"/>
    <w:rsid w:val="001F7FF8"/>
    <w:rsid w:val="00201211"/>
    <w:rsid w:val="00205AC2"/>
    <w:rsid w:val="00205DAC"/>
    <w:rsid w:val="002126A2"/>
    <w:rsid w:val="00215DBC"/>
    <w:rsid w:val="002162E1"/>
    <w:rsid w:val="00216563"/>
    <w:rsid w:val="00217EE4"/>
    <w:rsid w:val="00220349"/>
    <w:rsid w:val="002207CF"/>
    <w:rsid w:val="00222124"/>
    <w:rsid w:val="00222A9F"/>
    <w:rsid w:val="0022336D"/>
    <w:rsid w:val="00224593"/>
    <w:rsid w:val="002271EF"/>
    <w:rsid w:val="002337CB"/>
    <w:rsid w:val="00234D88"/>
    <w:rsid w:val="00244C1C"/>
    <w:rsid w:val="00246D79"/>
    <w:rsid w:val="0024770A"/>
    <w:rsid w:val="00250172"/>
    <w:rsid w:val="00253382"/>
    <w:rsid w:val="00257FB9"/>
    <w:rsid w:val="00261550"/>
    <w:rsid w:val="00262C4C"/>
    <w:rsid w:val="00262F02"/>
    <w:rsid w:val="00264FAE"/>
    <w:rsid w:val="002651E0"/>
    <w:rsid w:val="0026615A"/>
    <w:rsid w:val="00267062"/>
    <w:rsid w:val="00271C94"/>
    <w:rsid w:val="002727B6"/>
    <w:rsid w:val="00274E94"/>
    <w:rsid w:val="00275243"/>
    <w:rsid w:val="00276D4C"/>
    <w:rsid w:val="00281CE7"/>
    <w:rsid w:val="00284748"/>
    <w:rsid w:val="00286E14"/>
    <w:rsid w:val="00287368"/>
    <w:rsid w:val="00290C2F"/>
    <w:rsid w:val="002A03A0"/>
    <w:rsid w:val="002A14A3"/>
    <w:rsid w:val="002B26B3"/>
    <w:rsid w:val="002B289F"/>
    <w:rsid w:val="002B5BE0"/>
    <w:rsid w:val="002B75C2"/>
    <w:rsid w:val="002C39BC"/>
    <w:rsid w:val="002C57BE"/>
    <w:rsid w:val="002D04C6"/>
    <w:rsid w:val="002D444F"/>
    <w:rsid w:val="002D5B8C"/>
    <w:rsid w:val="002D66AD"/>
    <w:rsid w:val="002D6952"/>
    <w:rsid w:val="002E0C37"/>
    <w:rsid w:val="002E0EE3"/>
    <w:rsid w:val="002E1EAD"/>
    <w:rsid w:val="002E2BB2"/>
    <w:rsid w:val="002E3943"/>
    <w:rsid w:val="002E4199"/>
    <w:rsid w:val="002E4C7F"/>
    <w:rsid w:val="002F61F6"/>
    <w:rsid w:val="00300331"/>
    <w:rsid w:val="00301F60"/>
    <w:rsid w:val="00304EF9"/>
    <w:rsid w:val="003063AB"/>
    <w:rsid w:val="0031212D"/>
    <w:rsid w:val="003130B2"/>
    <w:rsid w:val="003159A7"/>
    <w:rsid w:val="00321E3D"/>
    <w:rsid w:val="00324AA6"/>
    <w:rsid w:val="00330609"/>
    <w:rsid w:val="00330CF2"/>
    <w:rsid w:val="00332065"/>
    <w:rsid w:val="00334176"/>
    <w:rsid w:val="00334D71"/>
    <w:rsid w:val="0033520E"/>
    <w:rsid w:val="003363A7"/>
    <w:rsid w:val="00336AB3"/>
    <w:rsid w:val="00341015"/>
    <w:rsid w:val="00341739"/>
    <w:rsid w:val="00341B60"/>
    <w:rsid w:val="00342BE0"/>
    <w:rsid w:val="003430D0"/>
    <w:rsid w:val="00344CED"/>
    <w:rsid w:val="003463E0"/>
    <w:rsid w:val="003509B1"/>
    <w:rsid w:val="00351157"/>
    <w:rsid w:val="00351808"/>
    <w:rsid w:val="00353C8A"/>
    <w:rsid w:val="0035452B"/>
    <w:rsid w:val="0035577B"/>
    <w:rsid w:val="00357CB1"/>
    <w:rsid w:val="0036035B"/>
    <w:rsid w:val="003627F2"/>
    <w:rsid w:val="00362F1F"/>
    <w:rsid w:val="00363384"/>
    <w:rsid w:val="003671FE"/>
    <w:rsid w:val="0037026C"/>
    <w:rsid w:val="003706C8"/>
    <w:rsid w:val="00370C8B"/>
    <w:rsid w:val="00375B67"/>
    <w:rsid w:val="0037731C"/>
    <w:rsid w:val="00377FDB"/>
    <w:rsid w:val="003802B0"/>
    <w:rsid w:val="0038095F"/>
    <w:rsid w:val="00390F23"/>
    <w:rsid w:val="0039162A"/>
    <w:rsid w:val="00396B59"/>
    <w:rsid w:val="00396EE9"/>
    <w:rsid w:val="0039735C"/>
    <w:rsid w:val="0039788C"/>
    <w:rsid w:val="003A0B85"/>
    <w:rsid w:val="003A131D"/>
    <w:rsid w:val="003A2213"/>
    <w:rsid w:val="003A6CFE"/>
    <w:rsid w:val="003B0DDB"/>
    <w:rsid w:val="003B3381"/>
    <w:rsid w:val="003B39F8"/>
    <w:rsid w:val="003B59E7"/>
    <w:rsid w:val="003B7814"/>
    <w:rsid w:val="003C02BD"/>
    <w:rsid w:val="003C08D8"/>
    <w:rsid w:val="003C0ED4"/>
    <w:rsid w:val="003C2F3C"/>
    <w:rsid w:val="003C4E6A"/>
    <w:rsid w:val="003C6D19"/>
    <w:rsid w:val="003D388F"/>
    <w:rsid w:val="003D48EA"/>
    <w:rsid w:val="003D4B5D"/>
    <w:rsid w:val="003D54A3"/>
    <w:rsid w:val="003D6C2A"/>
    <w:rsid w:val="003E0871"/>
    <w:rsid w:val="003E0EA2"/>
    <w:rsid w:val="003E2C27"/>
    <w:rsid w:val="003E3393"/>
    <w:rsid w:val="003E66E9"/>
    <w:rsid w:val="003E7157"/>
    <w:rsid w:val="003F13CE"/>
    <w:rsid w:val="003F1AEB"/>
    <w:rsid w:val="003F1C48"/>
    <w:rsid w:val="003F6A3F"/>
    <w:rsid w:val="003F7910"/>
    <w:rsid w:val="003F7CF8"/>
    <w:rsid w:val="0040088A"/>
    <w:rsid w:val="00401447"/>
    <w:rsid w:val="00401760"/>
    <w:rsid w:val="0040233F"/>
    <w:rsid w:val="00410C5C"/>
    <w:rsid w:val="00413ECD"/>
    <w:rsid w:val="00415CF7"/>
    <w:rsid w:val="004163B1"/>
    <w:rsid w:val="00416ED6"/>
    <w:rsid w:val="00420F90"/>
    <w:rsid w:val="004210C6"/>
    <w:rsid w:val="00421C6C"/>
    <w:rsid w:val="00422511"/>
    <w:rsid w:val="004260D0"/>
    <w:rsid w:val="00426B89"/>
    <w:rsid w:val="00430194"/>
    <w:rsid w:val="0043075F"/>
    <w:rsid w:val="004311CE"/>
    <w:rsid w:val="00431D03"/>
    <w:rsid w:val="004323EA"/>
    <w:rsid w:val="00433561"/>
    <w:rsid w:val="00433D3E"/>
    <w:rsid w:val="00434F61"/>
    <w:rsid w:val="00435315"/>
    <w:rsid w:val="00436642"/>
    <w:rsid w:val="00442960"/>
    <w:rsid w:val="0044442B"/>
    <w:rsid w:val="00444B27"/>
    <w:rsid w:val="00446522"/>
    <w:rsid w:val="004469A2"/>
    <w:rsid w:val="00454296"/>
    <w:rsid w:val="0045559F"/>
    <w:rsid w:val="00461C63"/>
    <w:rsid w:val="00462839"/>
    <w:rsid w:val="004632FB"/>
    <w:rsid w:val="0046355A"/>
    <w:rsid w:val="004650D9"/>
    <w:rsid w:val="00467034"/>
    <w:rsid w:val="00470503"/>
    <w:rsid w:val="00472211"/>
    <w:rsid w:val="00472456"/>
    <w:rsid w:val="00480761"/>
    <w:rsid w:val="00480A70"/>
    <w:rsid w:val="0048342E"/>
    <w:rsid w:val="004846C7"/>
    <w:rsid w:val="004859E9"/>
    <w:rsid w:val="004876CB"/>
    <w:rsid w:val="00487B67"/>
    <w:rsid w:val="0049009E"/>
    <w:rsid w:val="00490E15"/>
    <w:rsid w:val="004939A7"/>
    <w:rsid w:val="00493FBF"/>
    <w:rsid w:val="00494F3E"/>
    <w:rsid w:val="0049672D"/>
    <w:rsid w:val="00497D57"/>
    <w:rsid w:val="004A18CB"/>
    <w:rsid w:val="004A2620"/>
    <w:rsid w:val="004A5590"/>
    <w:rsid w:val="004B0DDF"/>
    <w:rsid w:val="004B1F18"/>
    <w:rsid w:val="004B6937"/>
    <w:rsid w:val="004B7C7F"/>
    <w:rsid w:val="004C0355"/>
    <w:rsid w:val="004C06EF"/>
    <w:rsid w:val="004C3E2E"/>
    <w:rsid w:val="004C4DC9"/>
    <w:rsid w:val="004C5396"/>
    <w:rsid w:val="004C6F03"/>
    <w:rsid w:val="004C7F37"/>
    <w:rsid w:val="004D0354"/>
    <w:rsid w:val="004D1D2E"/>
    <w:rsid w:val="004D348C"/>
    <w:rsid w:val="004D4699"/>
    <w:rsid w:val="004D65D5"/>
    <w:rsid w:val="004E020C"/>
    <w:rsid w:val="004E188D"/>
    <w:rsid w:val="004E339D"/>
    <w:rsid w:val="004E34C0"/>
    <w:rsid w:val="004E3AF4"/>
    <w:rsid w:val="004E44A8"/>
    <w:rsid w:val="004E6E9B"/>
    <w:rsid w:val="004F056C"/>
    <w:rsid w:val="004F325C"/>
    <w:rsid w:val="004F444A"/>
    <w:rsid w:val="004F50CA"/>
    <w:rsid w:val="004F5588"/>
    <w:rsid w:val="004F5798"/>
    <w:rsid w:val="004F5E0E"/>
    <w:rsid w:val="004F6468"/>
    <w:rsid w:val="00501ECF"/>
    <w:rsid w:val="00502C24"/>
    <w:rsid w:val="005120E4"/>
    <w:rsid w:val="00513924"/>
    <w:rsid w:val="00514A74"/>
    <w:rsid w:val="00514BAE"/>
    <w:rsid w:val="00516076"/>
    <w:rsid w:val="00516D82"/>
    <w:rsid w:val="00520F43"/>
    <w:rsid w:val="005213F7"/>
    <w:rsid w:val="00524A67"/>
    <w:rsid w:val="00524CBB"/>
    <w:rsid w:val="005251AA"/>
    <w:rsid w:val="0052754C"/>
    <w:rsid w:val="0053065A"/>
    <w:rsid w:val="00531450"/>
    <w:rsid w:val="00537146"/>
    <w:rsid w:val="005406CC"/>
    <w:rsid w:val="00540AEF"/>
    <w:rsid w:val="00543E92"/>
    <w:rsid w:val="005453CE"/>
    <w:rsid w:val="0054582E"/>
    <w:rsid w:val="005469ED"/>
    <w:rsid w:val="005478C5"/>
    <w:rsid w:val="005520E1"/>
    <w:rsid w:val="0055266C"/>
    <w:rsid w:val="00552BF2"/>
    <w:rsid w:val="00553FB2"/>
    <w:rsid w:val="00554745"/>
    <w:rsid w:val="00554E1A"/>
    <w:rsid w:val="00556B81"/>
    <w:rsid w:val="00560063"/>
    <w:rsid w:val="0056246A"/>
    <w:rsid w:val="00562D7B"/>
    <w:rsid w:val="005637E0"/>
    <w:rsid w:val="00563B36"/>
    <w:rsid w:val="00565DC8"/>
    <w:rsid w:val="00567266"/>
    <w:rsid w:val="005672F8"/>
    <w:rsid w:val="00567415"/>
    <w:rsid w:val="00567659"/>
    <w:rsid w:val="005678DF"/>
    <w:rsid w:val="00567A13"/>
    <w:rsid w:val="00573DD8"/>
    <w:rsid w:val="005744E0"/>
    <w:rsid w:val="00574D67"/>
    <w:rsid w:val="0057567D"/>
    <w:rsid w:val="005772C3"/>
    <w:rsid w:val="00582084"/>
    <w:rsid w:val="0058280B"/>
    <w:rsid w:val="00582F7D"/>
    <w:rsid w:val="0058306B"/>
    <w:rsid w:val="00583602"/>
    <w:rsid w:val="00583C48"/>
    <w:rsid w:val="005844B1"/>
    <w:rsid w:val="0058475D"/>
    <w:rsid w:val="005854F8"/>
    <w:rsid w:val="00585B17"/>
    <w:rsid w:val="0059071E"/>
    <w:rsid w:val="0059087E"/>
    <w:rsid w:val="00591069"/>
    <w:rsid w:val="0059261A"/>
    <w:rsid w:val="0059421F"/>
    <w:rsid w:val="0059459B"/>
    <w:rsid w:val="0059494B"/>
    <w:rsid w:val="00597A33"/>
    <w:rsid w:val="005A0E26"/>
    <w:rsid w:val="005A2F16"/>
    <w:rsid w:val="005A2FE9"/>
    <w:rsid w:val="005A3BB9"/>
    <w:rsid w:val="005A403C"/>
    <w:rsid w:val="005A560B"/>
    <w:rsid w:val="005A7851"/>
    <w:rsid w:val="005A7ECF"/>
    <w:rsid w:val="005B0756"/>
    <w:rsid w:val="005B1A21"/>
    <w:rsid w:val="005B2A4D"/>
    <w:rsid w:val="005B2E67"/>
    <w:rsid w:val="005B31B3"/>
    <w:rsid w:val="005B5803"/>
    <w:rsid w:val="005B7AE4"/>
    <w:rsid w:val="005C0900"/>
    <w:rsid w:val="005C2CFC"/>
    <w:rsid w:val="005C421F"/>
    <w:rsid w:val="005C5854"/>
    <w:rsid w:val="005C63E3"/>
    <w:rsid w:val="005C7543"/>
    <w:rsid w:val="005D083F"/>
    <w:rsid w:val="005D0C47"/>
    <w:rsid w:val="005D292B"/>
    <w:rsid w:val="005D44BC"/>
    <w:rsid w:val="005D7801"/>
    <w:rsid w:val="005E160E"/>
    <w:rsid w:val="005E7A31"/>
    <w:rsid w:val="005F15A5"/>
    <w:rsid w:val="005F28CB"/>
    <w:rsid w:val="005F381D"/>
    <w:rsid w:val="005F4C50"/>
    <w:rsid w:val="005F5B05"/>
    <w:rsid w:val="005F73E6"/>
    <w:rsid w:val="00601215"/>
    <w:rsid w:val="00601994"/>
    <w:rsid w:val="00601A87"/>
    <w:rsid w:val="00603A7B"/>
    <w:rsid w:val="00604942"/>
    <w:rsid w:val="006067ED"/>
    <w:rsid w:val="006070F6"/>
    <w:rsid w:val="00607D72"/>
    <w:rsid w:val="00610978"/>
    <w:rsid w:val="00611EFA"/>
    <w:rsid w:val="00612790"/>
    <w:rsid w:val="006204A9"/>
    <w:rsid w:val="00622DBD"/>
    <w:rsid w:val="006233C2"/>
    <w:rsid w:val="00623F75"/>
    <w:rsid w:val="00624CDF"/>
    <w:rsid w:val="006267BB"/>
    <w:rsid w:val="00626DD1"/>
    <w:rsid w:val="00627A5F"/>
    <w:rsid w:val="00627B45"/>
    <w:rsid w:val="006300ED"/>
    <w:rsid w:val="00631566"/>
    <w:rsid w:val="0063470D"/>
    <w:rsid w:val="006354CA"/>
    <w:rsid w:val="0063712F"/>
    <w:rsid w:val="0064241F"/>
    <w:rsid w:val="00652CDD"/>
    <w:rsid w:val="00654867"/>
    <w:rsid w:val="006557CF"/>
    <w:rsid w:val="00656243"/>
    <w:rsid w:val="0065689B"/>
    <w:rsid w:val="006636F8"/>
    <w:rsid w:val="0066505E"/>
    <w:rsid w:val="00667A08"/>
    <w:rsid w:val="0067114F"/>
    <w:rsid w:val="00671D21"/>
    <w:rsid w:val="0067268F"/>
    <w:rsid w:val="00672C81"/>
    <w:rsid w:val="0067472F"/>
    <w:rsid w:val="00676E0C"/>
    <w:rsid w:val="00677681"/>
    <w:rsid w:val="00680298"/>
    <w:rsid w:val="0068087F"/>
    <w:rsid w:val="00683F35"/>
    <w:rsid w:val="006874BE"/>
    <w:rsid w:val="00687BBC"/>
    <w:rsid w:val="00687F75"/>
    <w:rsid w:val="00690A89"/>
    <w:rsid w:val="0069141A"/>
    <w:rsid w:val="0069155E"/>
    <w:rsid w:val="00691D7E"/>
    <w:rsid w:val="00691DE3"/>
    <w:rsid w:val="0069342F"/>
    <w:rsid w:val="00694290"/>
    <w:rsid w:val="00694FCE"/>
    <w:rsid w:val="006952E0"/>
    <w:rsid w:val="00696D2F"/>
    <w:rsid w:val="00696FF8"/>
    <w:rsid w:val="006A0574"/>
    <w:rsid w:val="006A0E82"/>
    <w:rsid w:val="006A22B1"/>
    <w:rsid w:val="006A22BA"/>
    <w:rsid w:val="006A36AA"/>
    <w:rsid w:val="006A46FD"/>
    <w:rsid w:val="006A4D9A"/>
    <w:rsid w:val="006A5EA0"/>
    <w:rsid w:val="006B1960"/>
    <w:rsid w:val="006B3FFB"/>
    <w:rsid w:val="006B73C0"/>
    <w:rsid w:val="006C0D97"/>
    <w:rsid w:val="006C1893"/>
    <w:rsid w:val="006C1EBD"/>
    <w:rsid w:val="006C1FE6"/>
    <w:rsid w:val="006C31C7"/>
    <w:rsid w:val="006C37A6"/>
    <w:rsid w:val="006C4C19"/>
    <w:rsid w:val="006C582F"/>
    <w:rsid w:val="006C6876"/>
    <w:rsid w:val="006C708B"/>
    <w:rsid w:val="006C7F9A"/>
    <w:rsid w:val="006D111B"/>
    <w:rsid w:val="006D399F"/>
    <w:rsid w:val="006D6FD6"/>
    <w:rsid w:val="006E1752"/>
    <w:rsid w:val="006E26C7"/>
    <w:rsid w:val="006E32DB"/>
    <w:rsid w:val="006E39C5"/>
    <w:rsid w:val="006E754C"/>
    <w:rsid w:val="006E7739"/>
    <w:rsid w:val="006F3341"/>
    <w:rsid w:val="006F338F"/>
    <w:rsid w:val="006F3939"/>
    <w:rsid w:val="006F6822"/>
    <w:rsid w:val="006F6D11"/>
    <w:rsid w:val="00702222"/>
    <w:rsid w:val="00702F00"/>
    <w:rsid w:val="007132B9"/>
    <w:rsid w:val="0071573A"/>
    <w:rsid w:val="0071605F"/>
    <w:rsid w:val="007226A2"/>
    <w:rsid w:val="00723D22"/>
    <w:rsid w:val="00724748"/>
    <w:rsid w:val="00726FC9"/>
    <w:rsid w:val="00727420"/>
    <w:rsid w:val="007279EA"/>
    <w:rsid w:val="00727F6C"/>
    <w:rsid w:val="00730A7A"/>
    <w:rsid w:val="00734F7C"/>
    <w:rsid w:val="00735BEE"/>
    <w:rsid w:val="00737CD5"/>
    <w:rsid w:val="007405B5"/>
    <w:rsid w:val="00740918"/>
    <w:rsid w:val="00741705"/>
    <w:rsid w:val="007424FF"/>
    <w:rsid w:val="007448FA"/>
    <w:rsid w:val="00744F28"/>
    <w:rsid w:val="00746B97"/>
    <w:rsid w:val="00750D7E"/>
    <w:rsid w:val="00752A35"/>
    <w:rsid w:val="00753F01"/>
    <w:rsid w:val="00753FB8"/>
    <w:rsid w:val="00754042"/>
    <w:rsid w:val="007542EC"/>
    <w:rsid w:val="0075666E"/>
    <w:rsid w:val="00756692"/>
    <w:rsid w:val="00757CEC"/>
    <w:rsid w:val="00761841"/>
    <w:rsid w:val="007625BD"/>
    <w:rsid w:val="00766666"/>
    <w:rsid w:val="00767D63"/>
    <w:rsid w:val="00772238"/>
    <w:rsid w:val="00774525"/>
    <w:rsid w:val="007747BF"/>
    <w:rsid w:val="007748C3"/>
    <w:rsid w:val="0077592F"/>
    <w:rsid w:val="0077596B"/>
    <w:rsid w:val="00776658"/>
    <w:rsid w:val="00782C27"/>
    <w:rsid w:val="00785AD2"/>
    <w:rsid w:val="00785D53"/>
    <w:rsid w:val="00786932"/>
    <w:rsid w:val="00787541"/>
    <w:rsid w:val="00793F6C"/>
    <w:rsid w:val="0079736C"/>
    <w:rsid w:val="007979AA"/>
    <w:rsid w:val="007A1350"/>
    <w:rsid w:val="007A26AF"/>
    <w:rsid w:val="007A65FC"/>
    <w:rsid w:val="007B00C2"/>
    <w:rsid w:val="007B0B04"/>
    <w:rsid w:val="007B29E5"/>
    <w:rsid w:val="007B636A"/>
    <w:rsid w:val="007B6B50"/>
    <w:rsid w:val="007B7010"/>
    <w:rsid w:val="007C0B17"/>
    <w:rsid w:val="007C204C"/>
    <w:rsid w:val="007C3AFA"/>
    <w:rsid w:val="007C4FFE"/>
    <w:rsid w:val="007C7C24"/>
    <w:rsid w:val="007D0ED7"/>
    <w:rsid w:val="007D238A"/>
    <w:rsid w:val="007D3C87"/>
    <w:rsid w:val="007D52C0"/>
    <w:rsid w:val="007D5F70"/>
    <w:rsid w:val="007E07EA"/>
    <w:rsid w:val="007E2200"/>
    <w:rsid w:val="007E62A7"/>
    <w:rsid w:val="007E7A20"/>
    <w:rsid w:val="007E7E48"/>
    <w:rsid w:val="007F27F6"/>
    <w:rsid w:val="007F52D0"/>
    <w:rsid w:val="00800942"/>
    <w:rsid w:val="00801BAB"/>
    <w:rsid w:val="00805042"/>
    <w:rsid w:val="008055DB"/>
    <w:rsid w:val="00810822"/>
    <w:rsid w:val="00811489"/>
    <w:rsid w:val="0081189F"/>
    <w:rsid w:val="008202C9"/>
    <w:rsid w:val="008210B0"/>
    <w:rsid w:val="008216C5"/>
    <w:rsid w:val="00821AC7"/>
    <w:rsid w:val="00825159"/>
    <w:rsid w:val="008255D8"/>
    <w:rsid w:val="00825C1B"/>
    <w:rsid w:val="00825CBA"/>
    <w:rsid w:val="00826F3A"/>
    <w:rsid w:val="00831D4E"/>
    <w:rsid w:val="00833506"/>
    <w:rsid w:val="00833A37"/>
    <w:rsid w:val="00834174"/>
    <w:rsid w:val="00842C0C"/>
    <w:rsid w:val="00844B88"/>
    <w:rsid w:val="00846B12"/>
    <w:rsid w:val="008479FE"/>
    <w:rsid w:val="00857AE6"/>
    <w:rsid w:val="00860C0E"/>
    <w:rsid w:val="00860F99"/>
    <w:rsid w:val="00861AEE"/>
    <w:rsid w:val="0086380E"/>
    <w:rsid w:val="00870045"/>
    <w:rsid w:val="00875E0E"/>
    <w:rsid w:val="00876261"/>
    <w:rsid w:val="00880596"/>
    <w:rsid w:val="00884727"/>
    <w:rsid w:val="00884A65"/>
    <w:rsid w:val="0088528E"/>
    <w:rsid w:val="00885486"/>
    <w:rsid w:val="00885948"/>
    <w:rsid w:val="00886A94"/>
    <w:rsid w:val="008877C5"/>
    <w:rsid w:val="00890880"/>
    <w:rsid w:val="00891C55"/>
    <w:rsid w:val="008921DE"/>
    <w:rsid w:val="008929E6"/>
    <w:rsid w:val="0089538D"/>
    <w:rsid w:val="00895B37"/>
    <w:rsid w:val="00896B03"/>
    <w:rsid w:val="0089710A"/>
    <w:rsid w:val="00897BB4"/>
    <w:rsid w:val="008A497F"/>
    <w:rsid w:val="008A7552"/>
    <w:rsid w:val="008A79C9"/>
    <w:rsid w:val="008B1068"/>
    <w:rsid w:val="008B1F1E"/>
    <w:rsid w:val="008B4009"/>
    <w:rsid w:val="008B4A77"/>
    <w:rsid w:val="008B5FBB"/>
    <w:rsid w:val="008C1C8F"/>
    <w:rsid w:val="008C3D52"/>
    <w:rsid w:val="008C71F0"/>
    <w:rsid w:val="008D1256"/>
    <w:rsid w:val="008D1888"/>
    <w:rsid w:val="008D1DEB"/>
    <w:rsid w:val="008D32C8"/>
    <w:rsid w:val="008D4BBD"/>
    <w:rsid w:val="008D55B4"/>
    <w:rsid w:val="008D69A3"/>
    <w:rsid w:val="008E0160"/>
    <w:rsid w:val="008E0DF1"/>
    <w:rsid w:val="008E2D85"/>
    <w:rsid w:val="008E464C"/>
    <w:rsid w:val="008E6191"/>
    <w:rsid w:val="008F27DB"/>
    <w:rsid w:val="008F5687"/>
    <w:rsid w:val="008F66B2"/>
    <w:rsid w:val="008F6DB1"/>
    <w:rsid w:val="00900006"/>
    <w:rsid w:val="00900EE2"/>
    <w:rsid w:val="00904FE4"/>
    <w:rsid w:val="00905359"/>
    <w:rsid w:val="00905717"/>
    <w:rsid w:val="009125ED"/>
    <w:rsid w:val="00914458"/>
    <w:rsid w:val="009151C4"/>
    <w:rsid w:val="0091556C"/>
    <w:rsid w:val="00916EAF"/>
    <w:rsid w:val="00920460"/>
    <w:rsid w:val="00921385"/>
    <w:rsid w:val="009238BF"/>
    <w:rsid w:val="009331A8"/>
    <w:rsid w:val="0093402C"/>
    <w:rsid w:val="00934689"/>
    <w:rsid w:val="00934B47"/>
    <w:rsid w:val="00934E18"/>
    <w:rsid w:val="0093586A"/>
    <w:rsid w:val="009358B9"/>
    <w:rsid w:val="009375E5"/>
    <w:rsid w:val="00937981"/>
    <w:rsid w:val="00937E69"/>
    <w:rsid w:val="00940906"/>
    <w:rsid w:val="00940B08"/>
    <w:rsid w:val="00941963"/>
    <w:rsid w:val="00943F9F"/>
    <w:rsid w:val="00945004"/>
    <w:rsid w:val="00947AAE"/>
    <w:rsid w:val="00951053"/>
    <w:rsid w:val="00952C66"/>
    <w:rsid w:val="00954EC0"/>
    <w:rsid w:val="009553E5"/>
    <w:rsid w:val="0095664E"/>
    <w:rsid w:val="00957614"/>
    <w:rsid w:val="009625FF"/>
    <w:rsid w:val="009633C4"/>
    <w:rsid w:val="009642C6"/>
    <w:rsid w:val="00964C7A"/>
    <w:rsid w:val="0096510F"/>
    <w:rsid w:val="009667CA"/>
    <w:rsid w:val="00967FFE"/>
    <w:rsid w:val="00970365"/>
    <w:rsid w:val="00971492"/>
    <w:rsid w:val="009733AC"/>
    <w:rsid w:val="00976309"/>
    <w:rsid w:val="00977A6D"/>
    <w:rsid w:val="009807C9"/>
    <w:rsid w:val="009836E0"/>
    <w:rsid w:val="009849DD"/>
    <w:rsid w:val="00994E5B"/>
    <w:rsid w:val="00996522"/>
    <w:rsid w:val="00997DA7"/>
    <w:rsid w:val="009A11FE"/>
    <w:rsid w:val="009A2015"/>
    <w:rsid w:val="009A559B"/>
    <w:rsid w:val="009A6E14"/>
    <w:rsid w:val="009A7875"/>
    <w:rsid w:val="009B0146"/>
    <w:rsid w:val="009B2D99"/>
    <w:rsid w:val="009B3F25"/>
    <w:rsid w:val="009B483F"/>
    <w:rsid w:val="009B58A6"/>
    <w:rsid w:val="009B5E22"/>
    <w:rsid w:val="009B6D72"/>
    <w:rsid w:val="009B75E9"/>
    <w:rsid w:val="009C00A5"/>
    <w:rsid w:val="009C1BC5"/>
    <w:rsid w:val="009C206F"/>
    <w:rsid w:val="009C25E8"/>
    <w:rsid w:val="009C27B5"/>
    <w:rsid w:val="009C3DBF"/>
    <w:rsid w:val="009C6D75"/>
    <w:rsid w:val="009C7750"/>
    <w:rsid w:val="009D0875"/>
    <w:rsid w:val="009D3B6B"/>
    <w:rsid w:val="009D5356"/>
    <w:rsid w:val="009D5C95"/>
    <w:rsid w:val="009D68C0"/>
    <w:rsid w:val="009D7B33"/>
    <w:rsid w:val="009E0CDA"/>
    <w:rsid w:val="009E47E7"/>
    <w:rsid w:val="009E52FE"/>
    <w:rsid w:val="009E5A00"/>
    <w:rsid w:val="009E608A"/>
    <w:rsid w:val="009F3B17"/>
    <w:rsid w:val="009F5F8D"/>
    <w:rsid w:val="009F7EB1"/>
    <w:rsid w:val="00A00033"/>
    <w:rsid w:val="00A01488"/>
    <w:rsid w:val="00A02F32"/>
    <w:rsid w:val="00A10CD0"/>
    <w:rsid w:val="00A1200C"/>
    <w:rsid w:val="00A12036"/>
    <w:rsid w:val="00A13EC3"/>
    <w:rsid w:val="00A141AC"/>
    <w:rsid w:val="00A143AE"/>
    <w:rsid w:val="00A20358"/>
    <w:rsid w:val="00A21B5C"/>
    <w:rsid w:val="00A228D2"/>
    <w:rsid w:val="00A2471C"/>
    <w:rsid w:val="00A27171"/>
    <w:rsid w:val="00A30D78"/>
    <w:rsid w:val="00A31176"/>
    <w:rsid w:val="00A31DA1"/>
    <w:rsid w:val="00A32396"/>
    <w:rsid w:val="00A3494F"/>
    <w:rsid w:val="00A357DA"/>
    <w:rsid w:val="00A366ED"/>
    <w:rsid w:val="00A373EF"/>
    <w:rsid w:val="00A375F0"/>
    <w:rsid w:val="00A418B2"/>
    <w:rsid w:val="00A44278"/>
    <w:rsid w:val="00A47A32"/>
    <w:rsid w:val="00A51C89"/>
    <w:rsid w:val="00A53BA7"/>
    <w:rsid w:val="00A5484F"/>
    <w:rsid w:val="00A54F38"/>
    <w:rsid w:val="00A64966"/>
    <w:rsid w:val="00A65B99"/>
    <w:rsid w:val="00A70B17"/>
    <w:rsid w:val="00A75E77"/>
    <w:rsid w:val="00A7789C"/>
    <w:rsid w:val="00A82D5D"/>
    <w:rsid w:val="00A830E7"/>
    <w:rsid w:val="00A8386C"/>
    <w:rsid w:val="00A85878"/>
    <w:rsid w:val="00A86B61"/>
    <w:rsid w:val="00A87AFE"/>
    <w:rsid w:val="00A903AE"/>
    <w:rsid w:val="00A90D73"/>
    <w:rsid w:val="00A930C5"/>
    <w:rsid w:val="00A961C2"/>
    <w:rsid w:val="00AA19E0"/>
    <w:rsid w:val="00AA27F0"/>
    <w:rsid w:val="00AA3A90"/>
    <w:rsid w:val="00AA58D9"/>
    <w:rsid w:val="00AA68C4"/>
    <w:rsid w:val="00AA73F5"/>
    <w:rsid w:val="00AB50F2"/>
    <w:rsid w:val="00AC1DAA"/>
    <w:rsid w:val="00AC313B"/>
    <w:rsid w:val="00AC3A69"/>
    <w:rsid w:val="00AC5D3E"/>
    <w:rsid w:val="00AC7B52"/>
    <w:rsid w:val="00AD23A1"/>
    <w:rsid w:val="00AD24E2"/>
    <w:rsid w:val="00AD3E96"/>
    <w:rsid w:val="00AD47BE"/>
    <w:rsid w:val="00AD69AE"/>
    <w:rsid w:val="00AD7146"/>
    <w:rsid w:val="00AD7231"/>
    <w:rsid w:val="00AE0013"/>
    <w:rsid w:val="00AE76A7"/>
    <w:rsid w:val="00AF01E7"/>
    <w:rsid w:val="00AF1514"/>
    <w:rsid w:val="00AF1A25"/>
    <w:rsid w:val="00AF2760"/>
    <w:rsid w:val="00AF2C27"/>
    <w:rsid w:val="00AF4B30"/>
    <w:rsid w:val="00AF5366"/>
    <w:rsid w:val="00AF58E7"/>
    <w:rsid w:val="00AF5F0E"/>
    <w:rsid w:val="00AF7255"/>
    <w:rsid w:val="00AF75C9"/>
    <w:rsid w:val="00AF7721"/>
    <w:rsid w:val="00B00B76"/>
    <w:rsid w:val="00B019EF"/>
    <w:rsid w:val="00B02E75"/>
    <w:rsid w:val="00B03BF4"/>
    <w:rsid w:val="00B044D9"/>
    <w:rsid w:val="00B047C3"/>
    <w:rsid w:val="00B069D7"/>
    <w:rsid w:val="00B12103"/>
    <w:rsid w:val="00B15EFC"/>
    <w:rsid w:val="00B15FFD"/>
    <w:rsid w:val="00B17101"/>
    <w:rsid w:val="00B17B2F"/>
    <w:rsid w:val="00B2142E"/>
    <w:rsid w:val="00B229FB"/>
    <w:rsid w:val="00B22FE0"/>
    <w:rsid w:val="00B23E66"/>
    <w:rsid w:val="00B23EC9"/>
    <w:rsid w:val="00B25449"/>
    <w:rsid w:val="00B269EA"/>
    <w:rsid w:val="00B30346"/>
    <w:rsid w:val="00B30E51"/>
    <w:rsid w:val="00B331AA"/>
    <w:rsid w:val="00B37D78"/>
    <w:rsid w:val="00B41E02"/>
    <w:rsid w:val="00B43C83"/>
    <w:rsid w:val="00B4430D"/>
    <w:rsid w:val="00B44507"/>
    <w:rsid w:val="00B44624"/>
    <w:rsid w:val="00B44C49"/>
    <w:rsid w:val="00B477DA"/>
    <w:rsid w:val="00B50C26"/>
    <w:rsid w:val="00B51192"/>
    <w:rsid w:val="00B52B8D"/>
    <w:rsid w:val="00B52BE9"/>
    <w:rsid w:val="00B52F0E"/>
    <w:rsid w:val="00B55889"/>
    <w:rsid w:val="00B57D76"/>
    <w:rsid w:val="00B610FF"/>
    <w:rsid w:val="00B613B8"/>
    <w:rsid w:val="00B616FF"/>
    <w:rsid w:val="00B625CE"/>
    <w:rsid w:val="00B64F34"/>
    <w:rsid w:val="00B65D8F"/>
    <w:rsid w:val="00B66627"/>
    <w:rsid w:val="00B711C0"/>
    <w:rsid w:val="00B71C37"/>
    <w:rsid w:val="00B72709"/>
    <w:rsid w:val="00B72A52"/>
    <w:rsid w:val="00B75611"/>
    <w:rsid w:val="00B75639"/>
    <w:rsid w:val="00B7597A"/>
    <w:rsid w:val="00B75E53"/>
    <w:rsid w:val="00B7754A"/>
    <w:rsid w:val="00B77D46"/>
    <w:rsid w:val="00B80019"/>
    <w:rsid w:val="00B8098F"/>
    <w:rsid w:val="00B821B9"/>
    <w:rsid w:val="00B838CF"/>
    <w:rsid w:val="00B859F3"/>
    <w:rsid w:val="00B865EB"/>
    <w:rsid w:val="00B8768C"/>
    <w:rsid w:val="00B91CFE"/>
    <w:rsid w:val="00B92565"/>
    <w:rsid w:val="00B92613"/>
    <w:rsid w:val="00B95FBE"/>
    <w:rsid w:val="00B960E3"/>
    <w:rsid w:val="00B96E17"/>
    <w:rsid w:val="00BA1628"/>
    <w:rsid w:val="00BA1A33"/>
    <w:rsid w:val="00BA304B"/>
    <w:rsid w:val="00BA493A"/>
    <w:rsid w:val="00BA611F"/>
    <w:rsid w:val="00BA745F"/>
    <w:rsid w:val="00BB1892"/>
    <w:rsid w:val="00BB2850"/>
    <w:rsid w:val="00BB35B5"/>
    <w:rsid w:val="00BB752A"/>
    <w:rsid w:val="00BB75A4"/>
    <w:rsid w:val="00BB799A"/>
    <w:rsid w:val="00BC1BE6"/>
    <w:rsid w:val="00BC3E30"/>
    <w:rsid w:val="00BC43E9"/>
    <w:rsid w:val="00BC7AB4"/>
    <w:rsid w:val="00BD0258"/>
    <w:rsid w:val="00BD32DD"/>
    <w:rsid w:val="00BD5559"/>
    <w:rsid w:val="00BD7ED7"/>
    <w:rsid w:val="00BE0D27"/>
    <w:rsid w:val="00BE1C6E"/>
    <w:rsid w:val="00BE305D"/>
    <w:rsid w:val="00BE5106"/>
    <w:rsid w:val="00BE58D1"/>
    <w:rsid w:val="00BE6FFB"/>
    <w:rsid w:val="00BF0308"/>
    <w:rsid w:val="00BF17AD"/>
    <w:rsid w:val="00BF26E7"/>
    <w:rsid w:val="00BF348F"/>
    <w:rsid w:val="00BF520F"/>
    <w:rsid w:val="00BF7686"/>
    <w:rsid w:val="00C01421"/>
    <w:rsid w:val="00C03786"/>
    <w:rsid w:val="00C0400D"/>
    <w:rsid w:val="00C06516"/>
    <w:rsid w:val="00C06ED7"/>
    <w:rsid w:val="00C078BF"/>
    <w:rsid w:val="00C07A6B"/>
    <w:rsid w:val="00C1206B"/>
    <w:rsid w:val="00C1428F"/>
    <w:rsid w:val="00C14C53"/>
    <w:rsid w:val="00C14C82"/>
    <w:rsid w:val="00C15BC1"/>
    <w:rsid w:val="00C15CF5"/>
    <w:rsid w:val="00C16617"/>
    <w:rsid w:val="00C170EE"/>
    <w:rsid w:val="00C17122"/>
    <w:rsid w:val="00C20098"/>
    <w:rsid w:val="00C203EB"/>
    <w:rsid w:val="00C20732"/>
    <w:rsid w:val="00C25F55"/>
    <w:rsid w:val="00C260DA"/>
    <w:rsid w:val="00C27480"/>
    <w:rsid w:val="00C319D4"/>
    <w:rsid w:val="00C32D6B"/>
    <w:rsid w:val="00C3424F"/>
    <w:rsid w:val="00C34A79"/>
    <w:rsid w:val="00C3793F"/>
    <w:rsid w:val="00C379B2"/>
    <w:rsid w:val="00C37FD5"/>
    <w:rsid w:val="00C4046B"/>
    <w:rsid w:val="00C40DAA"/>
    <w:rsid w:val="00C41A4D"/>
    <w:rsid w:val="00C44299"/>
    <w:rsid w:val="00C45680"/>
    <w:rsid w:val="00C45B7A"/>
    <w:rsid w:val="00C4661E"/>
    <w:rsid w:val="00C47654"/>
    <w:rsid w:val="00C476B8"/>
    <w:rsid w:val="00C47D3B"/>
    <w:rsid w:val="00C50F18"/>
    <w:rsid w:val="00C5176E"/>
    <w:rsid w:val="00C56B4F"/>
    <w:rsid w:val="00C56ECE"/>
    <w:rsid w:val="00C60BA8"/>
    <w:rsid w:val="00C60E4D"/>
    <w:rsid w:val="00C622EE"/>
    <w:rsid w:val="00C65927"/>
    <w:rsid w:val="00C66014"/>
    <w:rsid w:val="00C764D6"/>
    <w:rsid w:val="00C76F3D"/>
    <w:rsid w:val="00C81FC7"/>
    <w:rsid w:val="00C86956"/>
    <w:rsid w:val="00C90BCA"/>
    <w:rsid w:val="00C90E36"/>
    <w:rsid w:val="00C91F2A"/>
    <w:rsid w:val="00C923FE"/>
    <w:rsid w:val="00C93E40"/>
    <w:rsid w:val="00C9400A"/>
    <w:rsid w:val="00C95C7C"/>
    <w:rsid w:val="00C969C6"/>
    <w:rsid w:val="00C97BD9"/>
    <w:rsid w:val="00CA1929"/>
    <w:rsid w:val="00CA1B84"/>
    <w:rsid w:val="00CA2C17"/>
    <w:rsid w:val="00CA6311"/>
    <w:rsid w:val="00CA6A87"/>
    <w:rsid w:val="00CA6D0F"/>
    <w:rsid w:val="00CA7683"/>
    <w:rsid w:val="00CB1957"/>
    <w:rsid w:val="00CB41E3"/>
    <w:rsid w:val="00CB7613"/>
    <w:rsid w:val="00CB7A40"/>
    <w:rsid w:val="00CB7E33"/>
    <w:rsid w:val="00CC0285"/>
    <w:rsid w:val="00CC4BFF"/>
    <w:rsid w:val="00CC695C"/>
    <w:rsid w:val="00CD1D0F"/>
    <w:rsid w:val="00CD20DB"/>
    <w:rsid w:val="00CD265E"/>
    <w:rsid w:val="00CD369F"/>
    <w:rsid w:val="00CD450C"/>
    <w:rsid w:val="00CD50C3"/>
    <w:rsid w:val="00CD59C1"/>
    <w:rsid w:val="00CD611D"/>
    <w:rsid w:val="00CD7F96"/>
    <w:rsid w:val="00CE306D"/>
    <w:rsid w:val="00CE6DBD"/>
    <w:rsid w:val="00CE70D5"/>
    <w:rsid w:val="00CF0104"/>
    <w:rsid w:val="00CF10D0"/>
    <w:rsid w:val="00CF1577"/>
    <w:rsid w:val="00CF15DA"/>
    <w:rsid w:val="00CF2CAF"/>
    <w:rsid w:val="00CF56AD"/>
    <w:rsid w:val="00CF6C37"/>
    <w:rsid w:val="00CF7136"/>
    <w:rsid w:val="00D00524"/>
    <w:rsid w:val="00D02724"/>
    <w:rsid w:val="00D04290"/>
    <w:rsid w:val="00D05B34"/>
    <w:rsid w:val="00D05F13"/>
    <w:rsid w:val="00D06804"/>
    <w:rsid w:val="00D11301"/>
    <w:rsid w:val="00D11A76"/>
    <w:rsid w:val="00D11B58"/>
    <w:rsid w:val="00D16861"/>
    <w:rsid w:val="00D17439"/>
    <w:rsid w:val="00D21146"/>
    <w:rsid w:val="00D21667"/>
    <w:rsid w:val="00D25C93"/>
    <w:rsid w:val="00D270AF"/>
    <w:rsid w:val="00D3117D"/>
    <w:rsid w:val="00D31275"/>
    <w:rsid w:val="00D33B19"/>
    <w:rsid w:val="00D35995"/>
    <w:rsid w:val="00D366C1"/>
    <w:rsid w:val="00D36B95"/>
    <w:rsid w:val="00D401FB"/>
    <w:rsid w:val="00D40AD0"/>
    <w:rsid w:val="00D43CB5"/>
    <w:rsid w:val="00D442DE"/>
    <w:rsid w:val="00D44DF8"/>
    <w:rsid w:val="00D47828"/>
    <w:rsid w:val="00D51E09"/>
    <w:rsid w:val="00D5286B"/>
    <w:rsid w:val="00D56A08"/>
    <w:rsid w:val="00D633FE"/>
    <w:rsid w:val="00D64132"/>
    <w:rsid w:val="00D641D4"/>
    <w:rsid w:val="00D705D8"/>
    <w:rsid w:val="00D76C1A"/>
    <w:rsid w:val="00D77749"/>
    <w:rsid w:val="00D77DDD"/>
    <w:rsid w:val="00D831C9"/>
    <w:rsid w:val="00D84102"/>
    <w:rsid w:val="00D863A4"/>
    <w:rsid w:val="00D8697F"/>
    <w:rsid w:val="00D90391"/>
    <w:rsid w:val="00D91213"/>
    <w:rsid w:val="00D93FC4"/>
    <w:rsid w:val="00D9427A"/>
    <w:rsid w:val="00D958B4"/>
    <w:rsid w:val="00D961C5"/>
    <w:rsid w:val="00DA0E83"/>
    <w:rsid w:val="00DA4260"/>
    <w:rsid w:val="00DA62A0"/>
    <w:rsid w:val="00DA6CC4"/>
    <w:rsid w:val="00DA7124"/>
    <w:rsid w:val="00DA78F0"/>
    <w:rsid w:val="00DB173E"/>
    <w:rsid w:val="00DB1C23"/>
    <w:rsid w:val="00DB4D66"/>
    <w:rsid w:val="00DB5990"/>
    <w:rsid w:val="00DB5D6E"/>
    <w:rsid w:val="00DB67F9"/>
    <w:rsid w:val="00DC1A8E"/>
    <w:rsid w:val="00DC1B84"/>
    <w:rsid w:val="00DC4DC1"/>
    <w:rsid w:val="00DC5CD7"/>
    <w:rsid w:val="00DC6068"/>
    <w:rsid w:val="00DD543F"/>
    <w:rsid w:val="00DD6586"/>
    <w:rsid w:val="00DE024D"/>
    <w:rsid w:val="00DE0D17"/>
    <w:rsid w:val="00DE4D55"/>
    <w:rsid w:val="00DE62FB"/>
    <w:rsid w:val="00DE6D44"/>
    <w:rsid w:val="00DE78D7"/>
    <w:rsid w:val="00DF0084"/>
    <w:rsid w:val="00DF1284"/>
    <w:rsid w:val="00DF35E3"/>
    <w:rsid w:val="00DF403D"/>
    <w:rsid w:val="00DF4933"/>
    <w:rsid w:val="00DF688E"/>
    <w:rsid w:val="00DF6FDA"/>
    <w:rsid w:val="00E01D77"/>
    <w:rsid w:val="00E02543"/>
    <w:rsid w:val="00E03495"/>
    <w:rsid w:val="00E04613"/>
    <w:rsid w:val="00E05753"/>
    <w:rsid w:val="00E1020C"/>
    <w:rsid w:val="00E15EA7"/>
    <w:rsid w:val="00E17F65"/>
    <w:rsid w:val="00E20089"/>
    <w:rsid w:val="00E2244E"/>
    <w:rsid w:val="00E2268A"/>
    <w:rsid w:val="00E25039"/>
    <w:rsid w:val="00E25D0B"/>
    <w:rsid w:val="00E25F48"/>
    <w:rsid w:val="00E2769A"/>
    <w:rsid w:val="00E326C4"/>
    <w:rsid w:val="00E3505F"/>
    <w:rsid w:val="00E375CA"/>
    <w:rsid w:val="00E37C1D"/>
    <w:rsid w:val="00E40922"/>
    <w:rsid w:val="00E4092F"/>
    <w:rsid w:val="00E4505C"/>
    <w:rsid w:val="00E47ABA"/>
    <w:rsid w:val="00E50EDD"/>
    <w:rsid w:val="00E57DA0"/>
    <w:rsid w:val="00E61887"/>
    <w:rsid w:val="00E62BF3"/>
    <w:rsid w:val="00E65D80"/>
    <w:rsid w:val="00E67911"/>
    <w:rsid w:val="00E70AA4"/>
    <w:rsid w:val="00E712E7"/>
    <w:rsid w:val="00E74639"/>
    <w:rsid w:val="00E76BA2"/>
    <w:rsid w:val="00E7779B"/>
    <w:rsid w:val="00E8012C"/>
    <w:rsid w:val="00E80B1C"/>
    <w:rsid w:val="00E80D68"/>
    <w:rsid w:val="00E81007"/>
    <w:rsid w:val="00E8276A"/>
    <w:rsid w:val="00E82A01"/>
    <w:rsid w:val="00E82EC1"/>
    <w:rsid w:val="00E835E4"/>
    <w:rsid w:val="00E845B8"/>
    <w:rsid w:val="00E85D52"/>
    <w:rsid w:val="00E911B2"/>
    <w:rsid w:val="00E93478"/>
    <w:rsid w:val="00E95479"/>
    <w:rsid w:val="00E95C6B"/>
    <w:rsid w:val="00E97035"/>
    <w:rsid w:val="00EA6BE9"/>
    <w:rsid w:val="00EB11BF"/>
    <w:rsid w:val="00EB142C"/>
    <w:rsid w:val="00EB1C88"/>
    <w:rsid w:val="00EB5009"/>
    <w:rsid w:val="00EB5403"/>
    <w:rsid w:val="00EB7CCC"/>
    <w:rsid w:val="00EC21F8"/>
    <w:rsid w:val="00EC2592"/>
    <w:rsid w:val="00EC4C79"/>
    <w:rsid w:val="00ED04BE"/>
    <w:rsid w:val="00ED6C9C"/>
    <w:rsid w:val="00ED7CC4"/>
    <w:rsid w:val="00EE2F21"/>
    <w:rsid w:val="00EE5404"/>
    <w:rsid w:val="00EE5696"/>
    <w:rsid w:val="00EE7F7A"/>
    <w:rsid w:val="00EF2F6E"/>
    <w:rsid w:val="00EF4132"/>
    <w:rsid w:val="00EF5734"/>
    <w:rsid w:val="00EF751E"/>
    <w:rsid w:val="00EF7B14"/>
    <w:rsid w:val="00F003C7"/>
    <w:rsid w:val="00F00F76"/>
    <w:rsid w:val="00F01060"/>
    <w:rsid w:val="00F01225"/>
    <w:rsid w:val="00F01971"/>
    <w:rsid w:val="00F03BD2"/>
    <w:rsid w:val="00F058A8"/>
    <w:rsid w:val="00F06A23"/>
    <w:rsid w:val="00F10139"/>
    <w:rsid w:val="00F119DB"/>
    <w:rsid w:val="00F11BA0"/>
    <w:rsid w:val="00F12BD1"/>
    <w:rsid w:val="00F13F0A"/>
    <w:rsid w:val="00F1584D"/>
    <w:rsid w:val="00F16AAD"/>
    <w:rsid w:val="00F2429B"/>
    <w:rsid w:val="00F256AB"/>
    <w:rsid w:val="00F25F1D"/>
    <w:rsid w:val="00F272F3"/>
    <w:rsid w:val="00F32EA0"/>
    <w:rsid w:val="00F3461D"/>
    <w:rsid w:val="00F37FAA"/>
    <w:rsid w:val="00F43292"/>
    <w:rsid w:val="00F44448"/>
    <w:rsid w:val="00F44698"/>
    <w:rsid w:val="00F44D0A"/>
    <w:rsid w:val="00F45B49"/>
    <w:rsid w:val="00F45DB4"/>
    <w:rsid w:val="00F505D6"/>
    <w:rsid w:val="00F5070D"/>
    <w:rsid w:val="00F5075F"/>
    <w:rsid w:val="00F51280"/>
    <w:rsid w:val="00F51BF0"/>
    <w:rsid w:val="00F534D6"/>
    <w:rsid w:val="00F56109"/>
    <w:rsid w:val="00F571A3"/>
    <w:rsid w:val="00F62B30"/>
    <w:rsid w:val="00F634EA"/>
    <w:rsid w:val="00F63933"/>
    <w:rsid w:val="00F649A2"/>
    <w:rsid w:val="00F658E2"/>
    <w:rsid w:val="00F65F28"/>
    <w:rsid w:val="00F65F29"/>
    <w:rsid w:val="00F66343"/>
    <w:rsid w:val="00F71F74"/>
    <w:rsid w:val="00F72B07"/>
    <w:rsid w:val="00F80198"/>
    <w:rsid w:val="00F82898"/>
    <w:rsid w:val="00F8341E"/>
    <w:rsid w:val="00F90974"/>
    <w:rsid w:val="00F9474E"/>
    <w:rsid w:val="00F94837"/>
    <w:rsid w:val="00F95CAE"/>
    <w:rsid w:val="00F95E43"/>
    <w:rsid w:val="00FA5EF0"/>
    <w:rsid w:val="00FA729B"/>
    <w:rsid w:val="00FB26A6"/>
    <w:rsid w:val="00FB4C1D"/>
    <w:rsid w:val="00FB5D6B"/>
    <w:rsid w:val="00FB5F07"/>
    <w:rsid w:val="00FB6795"/>
    <w:rsid w:val="00FB7C87"/>
    <w:rsid w:val="00FB7C92"/>
    <w:rsid w:val="00FC0014"/>
    <w:rsid w:val="00FC02AD"/>
    <w:rsid w:val="00FC074F"/>
    <w:rsid w:val="00FC155B"/>
    <w:rsid w:val="00FC1E9C"/>
    <w:rsid w:val="00FC32AE"/>
    <w:rsid w:val="00FC35DF"/>
    <w:rsid w:val="00FC3D6B"/>
    <w:rsid w:val="00FD19A9"/>
    <w:rsid w:val="00FD3AE7"/>
    <w:rsid w:val="00FD41B5"/>
    <w:rsid w:val="00FD5077"/>
    <w:rsid w:val="00FE0487"/>
    <w:rsid w:val="00FE1178"/>
    <w:rsid w:val="00FE1B4F"/>
    <w:rsid w:val="00FE6FE0"/>
    <w:rsid w:val="00FF003D"/>
    <w:rsid w:val="00FF0221"/>
    <w:rsid w:val="00FF19C7"/>
    <w:rsid w:val="00FF2D9C"/>
    <w:rsid w:val="00FF33CB"/>
    <w:rsid w:val="00FF3589"/>
    <w:rsid w:val="00FF3916"/>
    <w:rsid w:val="00FF7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color w:val="000000"/>
        <w:sz w:val="24"/>
        <w:szCs w:val="24"/>
        <w:lang w:val="es-ES_trad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39"/>
    <w:rPr>
      <w:rFonts w:ascii="Arial" w:hAnsi="Arial"/>
      <w:bCs/>
      <w:lang w:val="es-ES"/>
    </w:rPr>
  </w:style>
  <w:style w:type="paragraph" w:styleId="Ttulo1">
    <w:name w:val="heading 1"/>
    <w:basedOn w:val="Normal"/>
    <w:next w:val="Normal"/>
    <w:qFormat/>
    <w:rsid w:val="00891C55"/>
    <w:pPr>
      <w:keepNext/>
      <w:spacing w:before="240" w:after="60"/>
      <w:outlineLvl w:val="0"/>
    </w:pPr>
    <w:rPr>
      <w:rFonts w:cs="Arial"/>
      <w:b/>
      <w:bCs w:val="0"/>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autoRedefine/>
    <w:rsid w:val="00891C55"/>
    <w:pPr>
      <w:pBdr>
        <w:top w:val="thinThickSmallGap" w:sz="24" w:space="1" w:color="auto"/>
        <w:left w:val="thinThickSmallGap" w:sz="24" w:space="4" w:color="auto"/>
        <w:bottom w:val="thickThinSmallGap" w:sz="24" w:space="1" w:color="auto"/>
        <w:right w:val="thickThinSmallGap" w:sz="24" w:space="4" w:color="auto"/>
      </w:pBdr>
      <w:shd w:val="clear" w:color="auto" w:fill="339966"/>
      <w:spacing w:before="0" w:after="0"/>
      <w:jc w:val="right"/>
    </w:pPr>
    <w:rPr>
      <w:rFonts w:ascii="Times New Roman" w:hAnsi="Times New Roman" w:cs="Times New Roman"/>
      <w:b w:val="0"/>
      <w:color w:val="auto"/>
      <w:kern w:val="0"/>
      <w:sz w:val="72"/>
      <w:szCs w:val="72"/>
      <w:lang w:val="es-ES_tradnl"/>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Estilo2">
    <w:name w:val="Estilo2"/>
    <w:basedOn w:val="Ttulo1"/>
    <w:autoRedefine/>
    <w:rsid w:val="00891C55"/>
    <w:pPr>
      <w:spacing w:before="0" w:after="0"/>
      <w:jc w:val="center"/>
    </w:pPr>
    <w:rPr>
      <w:rFonts w:ascii="Times New Roman" w:hAnsi="Times New Roman" w:cs="Times New Roman"/>
      <w:kern w:val="0"/>
      <w:sz w:val="24"/>
      <w:szCs w:val="24"/>
      <w:lang w:val="es-ES_tradnl"/>
    </w:rPr>
  </w:style>
  <w:style w:type="paragraph" w:styleId="Encabezado">
    <w:name w:val="header"/>
    <w:basedOn w:val="Normal"/>
    <w:link w:val="EncabezadoCar"/>
    <w:rsid w:val="00E25D0B"/>
    <w:pPr>
      <w:tabs>
        <w:tab w:val="center" w:pos="4252"/>
        <w:tab w:val="right" w:pos="8504"/>
      </w:tabs>
    </w:pPr>
  </w:style>
  <w:style w:type="character" w:customStyle="1" w:styleId="EncabezadoCar">
    <w:name w:val="Encabezado Car"/>
    <w:basedOn w:val="Fuentedeprrafopredeter"/>
    <w:link w:val="Encabezado"/>
    <w:rsid w:val="00E25D0B"/>
    <w:rPr>
      <w:rFonts w:ascii="Arial" w:hAnsi="Arial"/>
      <w:bCs/>
      <w:lang w:val="es-ES"/>
    </w:rPr>
  </w:style>
  <w:style w:type="paragraph" w:styleId="Piedepgina">
    <w:name w:val="footer"/>
    <w:basedOn w:val="Normal"/>
    <w:link w:val="PiedepginaCar"/>
    <w:uiPriority w:val="99"/>
    <w:rsid w:val="00E25D0B"/>
    <w:pPr>
      <w:tabs>
        <w:tab w:val="center" w:pos="4252"/>
        <w:tab w:val="right" w:pos="8504"/>
      </w:tabs>
    </w:pPr>
  </w:style>
  <w:style w:type="character" w:customStyle="1" w:styleId="PiedepginaCar">
    <w:name w:val="Pie de página Car"/>
    <w:basedOn w:val="Fuentedeprrafopredeter"/>
    <w:link w:val="Piedepgina"/>
    <w:uiPriority w:val="99"/>
    <w:rsid w:val="00E25D0B"/>
    <w:rPr>
      <w:rFonts w:ascii="Arial" w:hAnsi="Arial"/>
      <w:bCs/>
      <w:lang w:val="es-ES"/>
    </w:rPr>
  </w:style>
  <w:style w:type="paragraph" w:styleId="Textodeglobo">
    <w:name w:val="Balloon Text"/>
    <w:basedOn w:val="Normal"/>
    <w:link w:val="TextodegloboCar"/>
    <w:rsid w:val="00E25D0B"/>
    <w:rPr>
      <w:rFonts w:ascii="Tahoma" w:hAnsi="Tahoma" w:cs="Tahoma"/>
      <w:sz w:val="16"/>
      <w:szCs w:val="16"/>
    </w:rPr>
  </w:style>
  <w:style w:type="character" w:customStyle="1" w:styleId="TextodegloboCar">
    <w:name w:val="Texto de globo Car"/>
    <w:basedOn w:val="Fuentedeprrafopredeter"/>
    <w:link w:val="Textodeglobo"/>
    <w:rsid w:val="00E25D0B"/>
    <w:rPr>
      <w:rFonts w:ascii="Tahoma" w:hAnsi="Tahoma" w:cs="Tahoma"/>
      <w:bCs/>
      <w:sz w:val="16"/>
      <w:szCs w:val="16"/>
      <w:lang w:val="es-ES"/>
    </w:rPr>
  </w:style>
  <w:style w:type="paragraph" w:styleId="Prrafodelista">
    <w:name w:val="List Paragraph"/>
    <w:basedOn w:val="Normal"/>
    <w:uiPriority w:val="99"/>
    <w:qFormat/>
    <w:rsid w:val="00E25D0B"/>
    <w:pPr>
      <w:ind w:left="720"/>
      <w:contextualSpacing/>
    </w:pPr>
  </w:style>
  <w:style w:type="character" w:styleId="Hipervnculo">
    <w:name w:val="Hyperlink"/>
    <w:basedOn w:val="Fuentedeprrafopredeter"/>
    <w:rsid w:val="00B33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color w:val="000000"/>
        <w:sz w:val="24"/>
        <w:szCs w:val="24"/>
        <w:lang w:val="es-ES_trad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39"/>
    <w:rPr>
      <w:rFonts w:ascii="Arial" w:hAnsi="Arial"/>
      <w:bCs/>
      <w:lang w:val="es-ES"/>
    </w:rPr>
  </w:style>
  <w:style w:type="paragraph" w:styleId="Ttulo1">
    <w:name w:val="heading 1"/>
    <w:basedOn w:val="Normal"/>
    <w:next w:val="Normal"/>
    <w:qFormat/>
    <w:rsid w:val="00891C55"/>
    <w:pPr>
      <w:keepNext/>
      <w:spacing w:before="240" w:after="60"/>
      <w:outlineLvl w:val="0"/>
    </w:pPr>
    <w:rPr>
      <w:rFonts w:cs="Arial"/>
      <w:b/>
      <w:bCs w:val="0"/>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autoRedefine/>
    <w:rsid w:val="00891C55"/>
    <w:pPr>
      <w:pBdr>
        <w:top w:val="thinThickSmallGap" w:sz="24" w:space="1" w:color="auto"/>
        <w:left w:val="thinThickSmallGap" w:sz="24" w:space="4" w:color="auto"/>
        <w:bottom w:val="thickThinSmallGap" w:sz="24" w:space="1" w:color="auto"/>
        <w:right w:val="thickThinSmallGap" w:sz="24" w:space="4" w:color="auto"/>
      </w:pBdr>
      <w:shd w:val="clear" w:color="auto" w:fill="339966"/>
      <w:spacing w:before="0" w:after="0"/>
      <w:jc w:val="right"/>
    </w:pPr>
    <w:rPr>
      <w:rFonts w:ascii="Times New Roman" w:hAnsi="Times New Roman" w:cs="Times New Roman"/>
      <w:b w:val="0"/>
      <w:color w:val="auto"/>
      <w:kern w:val="0"/>
      <w:sz w:val="72"/>
      <w:szCs w:val="72"/>
      <w:lang w:val="es-ES_tradnl"/>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Estilo2">
    <w:name w:val="Estilo2"/>
    <w:basedOn w:val="Ttulo1"/>
    <w:autoRedefine/>
    <w:rsid w:val="00891C55"/>
    <w:pPr>
      <w:spacing w:before="0" w:after="0"/>
      <w:jc w:val="center"/>
    </w:pPr>
    <w:rPr>
      <w:rFonts w:ascii="Times New Roman" w:hAnsi="Times New Roman" w:cs="Times New Roman"/>
      <w:kern w:val="0"/>
      <w:sz w:val="24"/>
      <w:szCs w:val="24"/>
      <w:lang w:val="es-ES_tradnl"/>
    </w:rPr>
  </w:style>
  <w:style w:type="paragraph" w:styleId="Encabezado">
    <w:name w:val="header"/>
    <w:basedOn w:val="Normal"/>
    <w:link w:val="EncabezadoCar"/>
    <w:rsid w:val="00E25D0B"/>
    <w:pPr>
      <w:tabs>
        <w:tab w:val="center" w:pos="4252"/>
        <w:tab w:val="right" w:pos="8504"/>
      </w:tabs>
    </w:pPr>
  </w:style>
  <w:style w:type="character" w:customStyle="1" w:styleId="EncabezadoCar">
    <w:name w:val="Encabezado Car"/>
    <w:basedOn w:val="Fuentedeprrafopredeter"/>
    <w:link w:val="Encabezado"/>
    <w:rsid w:val="00E25D0B"/>
    <w:rPr>
      <w:rFonts w:ascii="Arial" w:hAnsi="Arial"/>
      <w:bCs/>
      <w:lang w:val="es-ES"/>
    </w:rPr>
  </w:style>
  <w:style w:type="paragraph" w:styleId="Piedepgina">
    <w:name w:val="footer"/>
    <w:basedOn w:val="Normal"/>
    <w:link w:val="PiedepginaCar"/>
    <w:uiPriority w:val="99"/>
    <w:rsid w:val="00E25D0B"/>
    <w:pPr>
      <w:tabs>
        <w:tab w:val="center" w:pos="4252"/>
        <w:tab w:val="right" w:pos="8504"/>
      </w:tabs>
    </w:pPr>
  </w:style>
  <w:style w:type="character" w:customStyle="1" w:styleId="PiedepginaCar">
    <w:name w:val="Pie de página Car"/>
    <w:basedOn w:val="Fuentedeprrafopredeter"/>
    <w:link w:val="Piedepgina"/>
    <w:uiPriority w:val="99"/>
    <w:rsid w:val="00E25D0B"/>
    <w:rPr>
      <w:rFonts w:ascii="Arial" w:hAnsi="Arial"/>
      <w:bCs/>
      <w:lang w:val="es-ES"/>
    </w:rPr>
  </w:style>
  <w:style w:type="paragraph" w:styleId="Textodeglobo">
    <w:name w:val="Balloon Text"/>
    <w:basedOn w:val="Normal"/>
    <w:link w:val="TextodegloboCar"/>
    <w:rsid w:val="00E25D0B"/>
    <w:rPr>
      <w:rFonts w:ascii="Tahoma" w:hAnsi="Tahoma" w:cs="Tahoma"/>
      <w:sz w:val="16"/>
      <w:szCs w:val="16"/>
    </w:rPr>
  </w:style>
  <w:style w:type="character" w:customStyle="1" w:styleId="TextodegloboCar">
    <w:name w:val="Texto de globo Car"/>
    <w:basedOn w:val="Fuentedeprrafopredeter"/>
    <w:link w:val="Textodeglobo"/>
    <w:rsid w:val="00E25D0B"/>
    <w:rPr>
      <w:rFonts w:ascii="Tahoma" w:hAnsi="Tahoma" w:cs="Tahoma"/>
      <w:bCs/>
      <w:sz w:val="16"/>
      <w:szCs w:val="16"/>
      <w:lang w:val="es-ES"/>
    </w:rPr>
  </w:style>
  <w:style w:type="paragraph" w:styleId="Prrafodelista">
    <w:name w:val="List Paragraph"/>
    <w:basedOn w:val="Normal"/>
    <w:uiPriority w:val="99"/>
    <w:qFormat/>
    <w:rsid w:val="00E25D0B"/>
    <w:pPr>
      <w:ind w:left="720"/>
      <w:contextualSpacing/>
    </w:pPr>
  </w:style>
  <w:style w:type="character" w:styleId="Hipervnculo">
    <w:name w:val="Hyperlink"/>
    <w:basedOn w:val="Fuentedeprrafopredeter"/>
    <w:rsid w:val="00B33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064F-94FC-490C-A38B-2F5395B95848}">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5BC110A-8BE8-40C8-AC57-29EA85EC0239}">
  <ds:schemaRefs>
    <ds:schemaRef ds:uri="http://schemas.microsoft.com/sharepoint/v3/contenttype/forms"/>
  </ds:schemaRefs>
</ds:datastoreItem>
</file>

<file path=customXml/itemProps3.xml><?xml version="1.0" encoding="utf-8"?>
<ds:datastoreItem xmlns:ds="http://schemas.openxmlformats.org/officeDocument/2006/customXml" ds:itemID="{15D7DB6C-3A3F-4FF1-8513-AB83521A1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270311-5869-4975-85D6-29636B44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Martínez Ríos</dc:creator>
  <cp:lastModifiedBy>Abella Jover, Blanca (Servimedia.net)</cp:lastModifiedBy>
  <cp:revision>2</cp:revision>
  <cp:lastPrinted>2016-12-21T12:03:00Z</cp:lastPrinted>
  <dcterms:created xsi:type="dcterms:W3CDTF">2016-12-22T13:47:00Z</dcterms:created>
  <dcterms:modified xsi:type="dcterms:W3CDTF">2016-12-22T13:47:00Z</dcterms:modified>
</cp:coreProperties>
</file>