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1A9FA" w14:textId="77777777" w:rsidR="00CD5587" w:rsidRDefault="00CD5587" w:rsidP="00E53403">
      <w:pPr>
        <w:spacing w:line="360" w:lineRule="auto"/>
        <w:jc w:val="both"/>
      </w:pPr>
      <w:bookmarkStart w:id="0" w:name="_GoBack"/>
      <w:bookmarkEnd w:id="0"/>
    </w:p>
    <w:p w14:paraId="2912C2D0" w14:textId="77777777" w:rsidR="00CD5587" w:rsidRDefault="00B104FD" w:rsidP="00B104FD">
      <w:pPr>
        <w:spacing w:line="360" w:lineRule="auto"/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377B4B2E" wp14:editId="0FFFE3C7">
            <wp:extent cx="1969135" cy="1334770"/>
            <wp:effectExtent l="0" t="0" r="12065" b="1143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85F68" w14:textId="72E9381F" w:rsidR="002D05CF" w:rsidRPr="00B104FD" w:rsidRDefault="00CD5587" w:rsidP="00B104FD">
      <w:pPr>
        <w:pBdr>
          <w:bottom w:val="single" w:sz="12" w:space="1" w:color="auto"/>
        </w:pBdr>
        <w:spacing w:line="360" w:lineRule="auto"/>
        <w:jc w:val="both"/>
        <w:rPr>
          <w:b/>
        </w:rPr>
      </w:pPr>
      <w:r w:rsidRPr="00BB0DD9">
        <w:rPr>
          <w:b/>
        </w:rPr>
        <w:t xml:space="preserve">PROPUESTA </w:t>
      </w:r>
      <w:r w:rsidR="003145F1">
        <w:rPr>
          <w:b/>
        </w:rPr>
        <w:t xml:space="preserve">DEL CERMI </w:t>
      </w:r>
      <w:r w:rsidRPr="00BB0DD9">
        <w:rPr>
          <w:b/>
        </w:rPr>
        <w:t>DE REFORMA DEL ARTÍCULO 96 DEL CÓDIGO CIVIL: DERECHO AL USO DE LA VIVIENDA FAMILIAR DEL CÓNYUGE QUE SE OCUPE DEL CUIDADO</w:t>
      </w:r>
      <w:r w:rsidR="0082011C">
        <w:rPr>
          <w:b/>
        </w:rPr>
        <w:t xml:space="preserve"> Y ATENCIÓN</w:t>
      </w:r>
      <w:r w:rsidRPr="00BB0DD9">
        <w:rPr>
          <w:b/>
        </w:rPr>
        <w:t xml:space="preserve"> DE U</w:t>
      </w:r>
      <w:r w:rsidR="002D05CF" w:rsidRPr="00BB0DD9">
        <w:rPr>
          <w:b/>
        </w:rPr>
        <w:t>N HIJO</w:t>
      </w:r>
      <w:r w:rsidR="00B104FD">
        <w:rPr>
          <w:b/>
        </w:rPr>
        <w:t xml:space="preserve"> O HIJA CON DISCAPACIDAD</w:t>
      </w:r>
    </w:p>
    <w:p w14:paraId="5500FB50" w14:textId="77777777" w:rsidR="00E53403" w:rsidRDefault="00E53403" w:rsidP="00E53403">
      <w:pPr>
        <w:spacing w:line="360" w:lineRule="auto"/>
        <w:jc w:val="both"/>
        <w:rPr>
          <w:b/>
        </w:rPr>
      </w:pPr>
    </w:p>
    <w:p w14:paraId="21B6006F" w14:textId="77777777" w:rsidR="00BB0DD9" w:rsidRPr="00B104FD" w:rsidRDefault="00E53403" w:rsidP="00E53403">
      <w:pPr>
        <w:spacing w:line="360" w:lineRule="auto"/>
        <w:jc w:val="both"/>
        <w:rPr>
          <w:b/>
          <w:u w:val="single"/>
        </w:rPr>
      </w:pPr>
      <w:r w:rsidRPr="00B104FD">
        <w:rPr>
          <w:b/>
          <w:u w:val="single"/>
        </w:rPr>
        <w:t>Justificación de la propuesta</w:t>
      </w:r>
    </w:p>
    <w:p w14:paraId="5E3B6A07" w14:textId="77777777" w:rsidR="00BB0DD9" w:rsidRDefault="00BB0DD9" w:rsidP="00E53403">
      <w:pPr>
        <w:spacing w:line="360" w:lineRule="auto"/>
        <w:jc w:val="both"/>
      </w:pPr>
    </w:p>
    <w:p w14:paraId="285F883A" w14:textId="77777777" w:rsidR="00BB0DD9" w:rsidRDefault="00BB0DD9" w:rsidP="00E53403">
      <w:pPr>
        <w:spacing w:line="360" w:lineRule="auto"/>
        <w:jc w:val="both"/>
      </w:pPr>
      <w:r>
        <w:t xml:space="preserve">Un reciente pronunciamiento judicial </w:t>
      </w:r>
      <w:r w:rsidR="00E53403">
        <w:t xml:space="preserve">del Tribunal Supremo que resuelve un recurso de casación </w:t>
      </w:r>
      <w:r>
        <w:t>(</w:t>
      </w:r>
      <w:r w:rsidR="00E53403">
        <w:t>Sentencia de la Sala - Pleno -</w:t>
      </w:r>
      <w:r>
        <w:t xml:space="preserve"> de 19 de enero de 2017, RC 1222/2015) no ha </w:t>
      </w:r>
      <w:proofErr w:type="gramStart"/>
      <w:r>
        <w:t>reconocido</w:t>
      </w:r>
      <w:proofErr w:type="gramEnd"/>
      <w:r>
        <w:t xml:space="preserve"> el derecho de uso de la vivienda familiar a favor de </w:t>
      </w:r>
      <w:r w:rsidR="00BC43CA">
        <w:t>un hijo mayor</w:t>
      </w:r>
      <w:r>
        <w:t xml:space="preserve"> de edad con discapacidad. La Sala no se había pronunciado hasta la fecha sobre el derecho de uso de la vivienda familiar a favor de los hijos mayores de edad con discapacidad, si bien en anteriores sentencias (de 7 de julio de 2014, y 17 de julio de 2015) sí se había pronunciado a propósito de su derecho a los alimentos, equiparando a los hijos mayores de edad con discapacidad reconocida, pero no declarada judicialmente, con los hijos menores de edad. Se trata, además, de un supu</w:t>
      </w:r>
      <w:r w:rsidR="00B104FD">
        <w:t>esto no expresamente recogido en</w:t>
      </w:r>
      <w:r>
        <w:t xml:space="preserve"> el </w:t>
      </w:r>
      <w:r w:rsidR="00B104FD">
        <w:t xml:space="preserve">vigente </w:t>
      </w:r>
      <w:r>
        <w:t>artículo 96 del Código Civil, que regula la atribución de la vivienda familiar en los casos de separación y divorcio, y configura el derecho a mantenerse en la vivienda familiar como una medida de protección de los menores.</w:t>
      </w:r>
    </w:p>
    <w:p w14:paraId="73F9F24F" w14:textId="77777777" w:rsidR="00BB0DD9" w:rsidRDefault="00BB0DD9" w:rsidP="00E53403">
      <w:pPr>
        <w:spacing w:line="360" w:lineRule="auto"/>
        <w:jc w:val="both"/>
      </w:pPr>
    </w:p>
    <w:p w14:paraId="56D1A75A" w14:textId="77777777" w:rsidR="00BB0DD9" w:rsidRDefault="00BB0DD9" w:rsidP="00E53403">
      <w:pPr>
        <w:spacing w:line="360" w:lineRule="auto"/>
        <w:jc w:val="both"/>
      </w:pPr>
      <w:r>
        <w:t xml:space="preserve">La propuesta trata de paliar situaciones lamentables en las que uno de los cónyuges, precisamente en quien recae el mayor peso en el </w:t>
      </w:r>
      <w:r w:rsidR="00B104FD">
        <w:t xml:space="preserve">apoyo, </w:t>
      </w:r>
      <w:r>
        <w:t xml:space="preserve">cuidado y asistencia de un hijo </w:t>
      </w:r>
      <w:r w:rsidR="00B104FD">
        <w:t xml:space="preserve">o hija </w:t>
      </w:r>
      <w:r>
        <w:t xml:space="preserve">con discapacidad, </w:t>
      </w:r>
      <w:r w:rsidR="00B104FD">
        <w:t xml:space="preserve">con grandes necesidades de apoyo, </w:t>
      </w:r>
      <w:r>
        <w:t xml:space="preserve">es desalojado de la vivienda familiar tras una separación o divorcio matrimonial. </w:t>
      </w:r>
    </w:p>
    <w:p w14:paraId="440DFBD7" w14:textId="77777777" w:rsidR="00BB0DD9" w:rsidRDefault="00BB0DD9" w:rsidP="00E53403">
      <w:pPr>
        <w:spacing w:line="360" w:lineRule="auto"/>
        <w:jc w:val="both"/>
      </w:pPr>
    </w:p>
    <w:p w14:paraId="67834045" w14:textId="77777777" w:rsidR="00BB0DD9" w:rsidRDefault="00BB0DD9" w:rsidP="00E53403">
      <w:pPr>
        <w:spacing w:line="360" w:lineRule="auto"/>
        <w:jc w:val="both"/>
      </w:pPr>
      <w:r>
        <w:lastRenderedPageBreak/>
        <w:t xml:space="preserve">Para ello, y solo en esas situaciones ciertamente excepcionales, parece </w:t>
      </w:r>
      <w:r w:rsidR="00BC43CA">
        <w:t>necesaria</w:t>
      </w:r>
      <w:r>
        <w:t xml:space="preserve"> una reacción jurídica apropiada, por lo que se propone introducir un nuevo y último párrafo en el ar</w:t>
      </w:r>
      <w:r w:rsidR="00B104FD">
        <w:t>tículo 96 del Código Civil, cuya redacción quedaría así</w:t>
      </w:r>
      <w:r w:rsidR="00E53403">
        <w:t>:</w:t>
      </w:r>
    </w:p>
    <w:p w14:paraId="314576C0" w14:textId="77777777" w:rsidR="00E53403" w:rsidRDefault="00E53403" w:rsidP="00E53403">
      <w:pPr>
        <w:spacing w:line="360" w:lineRule="auto"/>
        <w:jc w:val="both"/>
        <w:rPr>
          <w:b/>
        </w:rPr>
      </w:pPr>
    </w:p>
    <w:p w14:paraId="50E97BDD" w14:textId="77777777" w:rsidR="0033741C" w:rsidRPr="00B104FD" w:rsidRDefault="00BB0DD9" w:rsidP="00E53403">
      <w:pPr>
        <w:spacing w:line="360" w:lineRule="auto"/>
        <w:jc w:val="both"/>
        <w:rPr>
          <w:b/>
          <w:u w:val="single"/>
        </w:rPr>
      </w:pPr>
      <w:r w:rsidRPr="00B104FD">
        <w:rPr>
          <w:b/>
          <w:u w:val="single"/>
        </w:rPr>
        <w:t xml:space="preserve">Propuesta </w:t>
      </w:r>
      <w:r w:rsidR="00B104FD" w:rsidRPr="00B104FD">
        <w:rPr>
          <w:b/>
          <w:u w:val="single"/>
        </w:rPr>
        <w:t xml:space="preserve">de modificación </w:t>
      </w:r>
      <w:r w:rsidRPr="00B104FD">
        <w:rPr>
          <w:b/>
          <w:u w:val="single"/>
        </w:rPr>
        <w:t>de</w:t>
      </w:r>
      <w:r w:rsidR="00B104FD" w:rsidRPr="00B104FD">
        <w:rPr>
          <w:b/>
          <w:u w:val="single"/>
        </w:rPr>
        <w:t>l</w:t>
      </w:r>
      <w:r w:rsidRPr="00B104FD">
        <w:rPr>
          <w:b/>
          <w:u w:val="single"/>
        </w:rPr>
        <w:t xml:space="preserve"> Artículo 96 del Código Civil</w:t>
      </w:r>
    </w:p>
    <w:p w14:paraId="2841BE81" w14:textId="77777777" w:rsidR="0033741C" w:rsidRDefault="0033741C" w:rsidP="00E53403">
      <w:pPr>
        <w:spacing w:line="360" w:lineRule="auto"/>
        <w:jc w:val="both"/>
      </w:pPr>
    </w:p>
    <w:p w14:paraId="7D361FF2" w14:textId="77777777" w:rsidR="00F07ABA" w:rsidRDefault="0033741C" w:rsidP="00F07ABA">
      <w:pPr>
        <w:spacing w:line="360" w:lineRule="auto"/>
        <w:ind w:left="284" w:right="284"/>
        <w:jc w:val="both"/>
        <w:rPr>
          <w:b/>
          <w:i/>
        </w:rPr>
      </w:pPr>
      <w:r w:rsidRPr="00E53403">
        <w:rPr>
          <w:i/>
        </w:rPr>
        <w:t xml:space="preserve">En defecto de acuerdo de los cónyuges aprobado por el Juez, el uso de la vivienda familiar y de los objetos de uso ordinario en ella corresponde a los hijos y al cónyuge en cuya compañía queden. </w:t>
      </w:r>
      <w:r w:rsidR="00C343F3" w:rsidRPr="00B104FD">
        <w:rPr>
          <w:b/>
          <w:i/>
          <w:color w:val="FF0000"/>
          <w:u w:val="single"/>
        </w:rPr>
        <w:t>Igual derecho corresponderá, por el tiempo que el Juez considere necesario, al hijo con discapacidad de cualquier edad,  tenga o no declar</w:t>
      </w:r>
      <w:r w:rsidR="00B104FD" w:rsidRPr="00B104FD">
        <w:rPr>
          <w:b/>
          <w:i/>
          <w:color w:val="FF0000"/>
          <w:u w:val="single"/>
        </w:rPr>
        <w:t>ada judicialmente alguna medida de apoyo para la toma de decisiones,</w:t>
      </w:r>
      <w:r w:rsidR="00F07ABA" w:rsidRPr="00B104FD">
        <w:rPr>
          <w:b/>
          <w:i/>
          <w:color w:val="FF0000"/>
          <w:u w:val="single"/>
        </w:rPr>
        <w:t xml:space="preserve"> y aunque acuda también a</w:t>
      </w:r>
      <w:r w:rsidR="00B104FD" w:rsidRPr="00B104FD">
        <w:rPr>
          <w:b/>
          <w:i/>
          <w:color w:val="FF0000"/>
          <w:u w:val="single"/>
        </w:rPr>
        <w:t xml:space="preserve"> un recurso de atención</w:t>
      </w:r>
      <w:r w:rsidR="00F07ABA" w:rsidRPr="00B104FD">
        <w:rPr>
          <w:b/>
          <w:i/>
          <w:color w:val="FF0000"/>
          <w:u w:val="single"/>
        </w:rPr>
        <w:t xml:space="preserve"> especializado. Se considerara como tal tanto el hijo de ambos cónyuges, de uno de ellos, o el que esté vinculado por acogimiento a cualquiera de los cónyuges.</w:t>
      </w:r>
    </w:p>
    <w:p w14:paraId="207472E3" w14:textId="77777777" w:rsidR="0033741C" w:rsidRPr="00C343F3" w:rsidRDefault="0033741C" w:rsidP="00E53403">
      <w:pPr>
        <w:spacing w:line="360" w:lineRule="auto"/>
        <w:ind w:left="284" w:right="284"/>
        <w:jc w:val="both"/>
        <w:rPr>
          <w:b/>
          <w:i/>
        </w:rPr>
      </w:pPr>
    </w:p>
    <w:p w14:paraId="2E683E91" w14:textId="77777777" w:rsidR="0033741C" w:rsidRPr="00E53403" w:rsidRDefault="0033741C" w:rsidP="00E53403">
      <w:pPr>
        <w:spacing w:line="360" w:lineRule="auto"/>
        <w:ind w:left="284" w:right="284"/>
        <w:jc w:val="both"/>
        <w:rPr>
          <w:i/>
        </w:rPr>
      </w:pPr>
      <w:r w:rsidRPr="00E53403">
        <w:rPr>
          <w:i/>
        </w:rPr>
        <w:t xml:space="preserve">Cuando algunos de los hijos queden en la compañía de uno y los restantes en la del otro, el Juez resolverá lo procedente. </w:t>
      </w:r>
    </w:p>
    <w:p w14:paraId="7034FAD1" w14:textId="77777777" w:rsidR="0033741C" w:rsidRPr="00E53403" w:rsidRDefault="0033741C" w:rsidP="00E53403">
      <w:pPr>
        <w:spacing w:line="360" w:lineRule="auto"/>
        <w:ind w:left="284" w:right="284"/>
        <w:jc w:val="both"/>
        <w:rPr>
          <w:i/>
        </w:rPr>
      </w:pPr>
    </w:p>
    <w:p w14:paraId="3B872255" w14:textId="77777777" w:rsidR="0033741C" w:rsidRPr="00E53403" w:rsidRDefault="0033741C" w:rsidP="00E53403">
      <w:pPr>
        <w:spacing w:line="360" w:lineRule="auto"/>
        <w:ind w:left="284" w:right="284"/>
        <w:jc w:val="both"/>
        <w:rPr>
          <w:i/>
        </w:rPr>
      </w:pPr>
      <w:r w:rsidRPr="00E53403">
        <w:rPr>
          <w:i/>
        </w:rPr>
        <w:t xml:space="preserve">No habiendo hijos, podrá acordarse que el uso de tales bienes, por el tiempo que prudencialmente se fije, corresponda al cónyuge no titular, siempre que atendidas las circunstancias, lo hicieran aconsejable y su interés fuera el más necesitado de protección. </w:t>
      </w:r>
    </w:p>
    <w:p w14:paraId="4A3CDAD7" w14:textId="77777777" w:rsidR="0033741C" w:rsidRPr="00E53403" w:rsidRDefault="0033741C" w:rsidP="00E53403">
      <w:pPr>
        <w:spacing w:line="360" w:lineRule="auto"/>
        <w:ind w:left="284" w:right="284"/>
        <w:jc w:val="both"/>
        <w:rPr>
          <w:i/>
        </w:rPr>
      </w:pPr>
    </w:p>
    <w:p w14:paraId="1BA43A48" w14:textId="77777777" w:rsidR="0033741C" w:rsidRPr="00E53403" w:rsidRDefault="0033741C" w:rsidP="00E53403">
      <w:pPr>
        <w:spacing w:line="360" w:lineRule="auto"/>
        <w:ind w:left="284" w:right="284"/>
        <w:jc w:val="both"/>
        <w:rPr>
          <w:i/>
        </w:rPr>
      </w:pPr>
      <w:r w:rsidRPr="00E53403">
        <w:rPr>
          <w:i/>
        </w:rPr>
        <w:t>Para disponer de la vivienda y bienes indicados cuyo uso corresponda al cónyuge no titular se requerirá el consentimiento de ambas partes o, en su caso, autorización judicial.</w:t>
      </w:r>
    </w:p>
    <w:p w14:paraId="065C9D46" w14:textId="77777777" w:rsidR="00E53403" w:rsidRDefault="00E53403" w:rsidP="00B104FD">
      <w:pPr>
        <w:spacing w:line="360" w:lineRule="auto"/>
        <w:ind w:right="284"/>
        <w:jc w:val="both"/>
        <w:rPr>
          <w:b/>
          <w:i/>
        </w:rPr>
      </w:pPr>
    </w:p>
    <w:p w14:paraId="2A0A33FD" w14:textId="77777777" w:rsidR="00E53403" w:rsidRDefault="00E53403" w:rsidP="00B104FD">
      <w:pPr>
        <w:spacing w:line="360" w:lineRule="auto"/>
        <w:ind w:left="284" w:right="284"/>
        <w:jc w:val="right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B104FD">
        <w:t>F</w:t>
      </w:r>
      <w:r w:rsidR="00F07ABA">
        <w:t>ebr</w:t>
      </w:r>
      <w:r w:rsidRPr="00E53403">
        <w:t>ero de 2017</w:t>
      </w:r>
      <w:r w:rsidR="00B104FD">
        <w:t>.</w:t>
      </w:r>
    </w:p>
    <w:p w14:paraId="6479352B" w14:textId="77777777" w:rsidR="00B104FD" w:rsidRDefault="00B104FD" w:rsidP="00B104FD">
      <w:pPr>
        <w:spacing w:line="360" w:lineRule="auto"/>
        <w:ind w:left="284" w:right="284"/>
        <w:jc w:val="right"/>
      </w:pPr>
    </w:p>
    <w:p w14:paraId="18F99EAC" w14:textId="77777777" w:rsidR="00B104FD" w:rsidRPr="00B104FD" w:rsidRDefault="00B104FD" w:rsidP="00B104FD">
      <w:pPr>
        <w:spacing w:line="360" w:lineRule="auto"/>
        <w:ind w:left="284" w:right="284"/>
        <w:jc w:val="center"/>
        <w:rPr>
          <w:b/>
        </w:rPr>
      </w:pPr>
      <w:r w:rsidRPr="00B104FD">
        <w:rPr>
          <w:b/>
        </w:rPr>
        <w:t>CERMI</w:t>
      </w:r>
    </w:p>
    <w:p w14:paraId="3B48DD1D" w14:textId="77777777" w:rsidR="00B104FD" w:rsidRPr="00B104FD" w:rsidRDefault="008F5E37" w:rsidP="00B104FD">
      <w:pPr>
        <w:spacing w:line="360" w:lineRule="auto"/>
        <w:ind w:left="284" w:right="284"/>
        <w:jc w:val="center"/>
        <w:rPr>
          <w:b/>
        </w:rPr>
      </w:pPr>
      <w:hyperlink r:id="rId12" w:history="1">
        <w:r w:rsidR="00B104FD" w:rsidRPr="00B104FD">
          <w:rPr>
            <w:rStyle w:val="Hipervnculo"/>
            <w:b/>
          </w:rPr>
          <w:t>www.cermi.es</w:t>
        </w:r>
      </w:hyperlink>
    </w:p>
    <w:p w14:paraId="755776F3" w14:textId="77777777" w:rsidR="00B104FD" w:rsidRPr="00E53403" w:rsidRDefault="00B104FD" w:rsidP="00B104FD">
      <w:pPr>
        <w:spacing w:line="360" w:lineRule="auto"/>
        <w:ind w:left="284" w:right="284"/>
        <w:jc w:val="right"/>
      </w:pPr>
    </w:p>
    <w:sectPr w:rsidR="00B104FD" w:rsidRPr="00E53403">
      <w:footerReference w:type="even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954BA" w14:textId="77777777" w:rsidR="00B104FD" w:rsidRDefault="00B104FD">
      <w:r>
        <w:separator/>
      </w:r>
    </w:p>
  </w:endnote>
  <w:endnote w:type="continuationSeparator" w:id="0">
    <w:p w14:paraId="27A3DF2B" w14:textId="77777777" w:rsidR="00B104FD" w:rsidRDefault="00B1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B7721" w14:textId="77777777" w:rsidR="00E53403" w:rsidRDefault="00E53403" w:rsidP="00AD095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D60912" w14:textId="77777777" w:rsidR="00E53403" w:rsidRDefault="00E5340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6D60C" w14:textId="77777777" w:rsidR="00E53403" w:rsidRDefault="00E53403" w:rsidP="00AD095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5E3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45E63D2" w14:textId="77777777" w:rsidR="00E53403" w:rsidRDefault="00E534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20861" w14:textId="77777777" w:rsidR="00B104FD" w:rsidRDefault="00B104FD">
      <w:r>
        <w:separator/>
      </w:r>
    </w:p>
  </w:footnote>
  <w:footnote w:type="continuationSeparator" w:id="0">
    <w:p w14:paraId="4CEE919A" w14:textId="77777777" w:rsidR="00B104FD" w:rsidRDefault="00B10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340D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1C"/>
    <w:rsid w:val="002D05CF"/>
    <w:rsid w:val="003145F1"/>
    <w:rsid w:val="0033741C"/>
    <w:rsid w:val="0041305B"/>
    <w:rsid w:val="007A07D9"/>
    <w:rsid w:val="0082011C"/>
    <w:rsid w:val="008A2A1F"/>
    <w:rsid w:val="008F5E37"/>
    <w:rsid w:val="009E2608"/>
    <w:rsid w:val="00A35DEE"/>
    <w:rsid w:val="00AD0959"/>
    <w:rsid w:val="00B104FD"/>
    <w:rsid w:val="00BB0DD9"/>
    <w:rsid w:val="00BC43CA"/>
    <w:rsid w:val="00C343F3"/>
    <w:rsid w:val="00CD5587"/>
    <w:rsid w:val="00D0286A"/>
    <w:rsid w:val="00E53403"/>
    <w:rsid w:val="00F0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B6D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5340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53403"/>
  </w:style>
  <w:style w:type="paragraph" w:styleId="Encabezado">
    <w:name w:val="header"/>
    <w:basedOn w:val="Normal"/>
    <w:link w:val="EncabezadoCar"/>
    <w:rsid w:val="008A2A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A2A1F"/>
    <w:rPr>
      <w:sz w:val="24"/>
      <w:szCs w:val="24"/>
    </w:rPr>
  </w:style>
  <w:style w:type="character" w:styleId="Hipervnculo">
    <w:name w:val="Hyperlink"/>
    <w:basedOn w:val="Fuentedeprrafopredeter"/>
    <w:rsid w:val="00B104F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rsid w:val="008F5E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5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5340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53403"/>
  </w:style>
  <w:style w:type="paragraph" w:styleId="Encabezado">
    <w:name w:val="header"/>
    <w:basedOn w:val="Normal"/>
    <w:link w:val="EncabezadoCar"/>
    <w:rsid w:val="008A2A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A2A1F"/>
    <w:rPr>
      <w:sz w:val="24"/>
      <w:szCs w:val="24"/>
    </w:rPr>
  </w:style>
  <w:style w:type="character" w:styleId="Hipervnculo">
    <w:name w:val="Hyperlink"/>
    <w:basedOn w:val="Fuentedeprrafopredeter"/>
    <w:rsid w:val="00B104F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rsid w:val="008F5E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5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ermi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12208AD-79D0-4BEC-BD8A-F54EA461EB1B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46AC5E0-F3D3-4D3C-875A-F26900F9D5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5C2F8D-6300-48BA-89E1-ACA179403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2017-02-13T11:26:00Z</dcterms:created>
  <dcterms:modified xsi:type="dcterms:W3CDTF">2017-02-13T11:26:00Z</dcterms:modified>
</cp:coreProperties>
</file>