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B5" w:rsidRPr="00117F21" w:rsidRDefault="00700C29" w:rsidP="0080723B">
      <w:pPr>
        <w:pStyle w:val="Piedepgina"/>
        <w:jc w:val="center"/>
        <w:rPr>
          <w:rFonts w:ascii="Arial" w:hAnsi="Arial" w:cs="Arial"/>
          <w:color w:val="00B0F0"/>
          <w:sz w:val="32"/>
          <w:szCs w:val="32"/>
          <w:shd w:val="clear" w:color="auto" w:fill="FFFFFF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-804545</wp:posOffset>
            </wp:positionV>
            <wp:extent cx="789305" cy="97917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-1341755</wp:posOffset>
            </wp:positionH>
            <wp:positionV relativeFrom="paragraph">
              <wp:posOffset>-1038860</wp:posOffset>
            </wp:positionV>
            <wp:extent cx="7658100" cy="1081405"/>
            <wp:effectExtent l="0" t="0" r="0" b="4445"/>
            <wp:wrapNone/>
            <wp:docPr id="2" name="Picture 3" descr="Description: EDF_HEADER_POSITION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DF_HEADER_POSITIONPAP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21" w:rsidRPr="00117F21">
        <w:rPr>
          <w:rFonts w:ascii="Arial" w:hAnsi="Arial" w:cs="Arial"/>
          <w:b/>
          <w:color w:val="007AB7"/>
          <w:sz w:val="32"/>
          <w:szCs w:val="26"/>
          <w:lang w:val="es-ES"/>
        </w:rPr>
        <w:t>Resolución de Emergencia sobre el Acta Europea de Accesibilidad</w:t>
      </w:r>
    </w:p>
    <w:p w:rsidR="00D55EB5" w:rsidRPr="00117F21" w:rsidRDefault="00117F21" w:rsidP="00212F67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r w:rsidRPr="00117F21">
        <w:rPr>
          <w:rFonts w:ascii="Arial" w:hAnsi="Arial" w:cs="Arial"/>
          <w:b/>
          <w:color w:val="007AB7"/>
          <w:lang w:val="es-ES"/>
        </w:rPr>
        <w:t>Adoptada por la Asamblea Gen</w:t>
      </w:r>
      <w:r>
        <w:rPr>
          <w:rFonts w:ascii="Arial" w:hAnsi="Arial" w:cs="Arial"/>
          <w:b/>
          <w:color w:val="007AB7"/>
          <w:lang w:val="es-ES"/>
        </w:rPr>
        <w:t>e</w:t>
      </w:r>
      <w:r w:rsidRPr="00117F21">
        <w:rPr>
          <w:rFonts w:ascii="Arial" w:hAnsi="Arial" w:cs="Arial"/>
          <w:b/>
          <w:color w:val="007AB7"/>
          <w:lang w:val="es-ES"/>
        </w:rPr>
        <w:t>ral del EDF el 13 de may</w:t>
      </w:r>
      <w:r>
        <w:rPr>
          <w:rFonts w:ascii="Arial" w:hAnsi="Arial" w:cs="Arial"/>
          <w:b/>
          <w:color w:val="007AB7"/>
          <w:lang w:val="es-ES"/>
        </w:rPr>
        <w:t>o de 2017 en Madrid, España</w:t>
      </w:r>
    </w:p>
    <w:p w:rsidR="00212F67" w:rsidRPr="00117F21" w:rsidRDefault="00212F67" w:rsidP="00212F67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</w:p>
    <w:p w:rsidR="003573BD" w:rsidRPr="005B5014" w:rsidRDefault="005B5014" w:rsidP="0080723B">
      <w:pPr>
        <w:pStyle w:val="Piedepgina"/>
        <w:jc w:val="center"/>
        <w:rPr>
          <w:rFonts w:ascii="Arial" w:hAnsi="Arial" w:cs="Arial"/>
          <w:b/>
          <w:color w:val="007AB7"/>
          <w:sz w:val="32"/>
          <w:szCs w:val="32"/>
          <w:lang w:val="es-ES"/>
        </w:rPr>
      </w:pPr>
      <w:r>
        <w:rPr>
          <w:rFonts w:ascii="Arial" w:hAnsi="Arial" w:cs="Arial"/>
          <w:b/>
          <w:color w:val="007AB7"/>
          <w:sz w:val="32"/>
          <w:szCs w:val="32"/>
          <w:lang w:val="es-ES"/>
        </w:rPr>
        <w:t xml:space="preserve">Un Mercado Interior </w:t>
      </w:r>
      <w:r w:rsidR="00117F21">
        <w:rPr>
          <w:rFonts w:ascii="Arial" w:hAnsi="Arial" w:cs="Arial"/>
          <w:b/>
          <w:color w:val="007AB7"/>
          <w:sz w:val="32"/>
          <w:szCs w:val="32"/>
          <w:lang w:val="es-ES"/>
        </w:rPr>
        <w:t>que funcione para tod</w:t>
      </w:r>
      <w:r w:rsidR="0090238A">
        <w:rPr>
          <w:rFonts w:ascii="Arial" w:hAnsi="Arial" w:cs="Arial"/>
          <w:b/>
          <w:color w:val="007AB7"/>
          <w:sz w:val="32"/>
          <w:szCs w:val="32"/>
          <w:lang w:val="es-ES"/>
        </w:rPr>
        <w:t>as las personas</w:t>
      </w:r>
    </w:p>
    <w:p w:rsidR="00AD1A0C" w:rsidRPr="00117F21" w:rsidRDefault="00AD1A0C" w:rsidP="003573BD">
      <w:pPr>
        <w:pStyle w:val="Piedepgina"/>
        <w:rPr>
          <w:rFonts w:ascii="Arial" w:hAnsi="Arial" w:cs="Arial"/>
          <w:b/>
          <w:color w:val="007AB7"/>
          <w:sz w:val="32"/>
          <w:szCs w:val="32"/>
          <w:lang w:val="es-ES"/>
        </w:rPr>
      </w:pPr>
      <w:r w:rsidRPr="00117F21">
        <w:rPr>
          <w:rFonts w:ascii="Arial" w:hAnsi="Arial" w:cs="Arial"/>
          <w:color w:val="000000"/>
          <w:sz w:val="25"/>
          <w:szCs w:val="25"/>
          <w:lang w:val="es-ES"/>
        </w:rPr>
        <w:t>...................................................................................</w:t>
      </w:r>
      <w:r w:rsidR="00B566B1" w:rsidRPr="00117F21">
        <w:rPr>
          <w:rFonts w:ascii="Arial" w:hAnsi="Arial" w:cs="Arial"/>
          <w:color w:val="000000"/>
          <w:sz w:val="25"/>
          <w:szCs w:val="25"/>
          <w:lang w:val="es-ES"/>
        </w:rPr>
        <w:t>.................</w:t>
      </w:r>
      <w:r w:rsidR="00BB04EE" w:rsidRPr="00117F21">
        <w:rPr>
          <w:rFonts w:ascii="Arial" w:hAnsi="Arial" w:cs="Arial"/>
          <w:color w:val="000000"/>
          <w:sz w:val="25"/>
          <w:szCs w:val="25"/>
          <w:lang w:val="es-ES"/>
        </w:rPr>
        <w:t>........................</w:t>
      </w:r>
    </w:p>
    <w:p w:rsidR="00BD763C" w:rsidRPr="00117F21" w:rsidRDefault="00BD763C" w:rsidP="00BD763C">
      <w:pPr>
        <w:pStyle w:val="Piedepgina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117F21" w:rsidRPr="005C07A2" w:rsidRDefault="00117F21" w:rsidP="00212F67">
      <w:pPr>
        <w:pStyle w:val="Piedepgina"/>
        <w:jc w:val="both"/>
        <w:rPr>
          <w:rFonts w:ascii="Arial" w:hAnsi="Arial" w:cs="Arial"/>
          <w:sz w:val="22"/>
          <w:szCs w:val="22"/>
          <w:lang w:val="es-ES"/>
        </w:rPr>
      </w:pPr>
      <w:r w:rsidRPr="00172FD5">
        <w:rPr>
          <w:rFonts w:ascii="Arial" w:hAnsi="Arial" w:cs="Arial"/>
          <w:color w:val="000000"/>
          <w:sz w:val="22"/>
          <w:szCs w:val="22"/>
          <w:lang w:val="es-ES"/>
        </w:rPr>
        <w:t xml:space="preserve">Teniendo en cuenta la importancia para el Movimiento de la Discapacidad de la propuesta </w:t>
      </w:r>
      <w:r w:rsidR="005C07A2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Pr="00172FD5">
        <w:rPr>
          <w:rFonts w:ascii="Arial" w:hAnsi="Arial" w:cs="Arial"/>
          <w:color w:val="000000"/>
          <w:sz w:val="22"/>
          <w:szCs w:val="22"/>
          <w:lang w:val="es-ES"/>
        </w:rPr>
        <w:t xml:space="preserve"> Acta Europea de Accesibilidad (</w:t>
      </w:r>
      <w:r w:rsidR="00172FD5" w:rsidRPr="005C07A2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DIRECTIVA DEL PARLAMENTO EUROPEO Y DEL CONSEJO relativa a la aproximación de las disposiciones legales, reglamentarias y administrativas de los Estados miembros por lo que se refiere a los requisitos de accesibilidad de los productos y los servicios</w:t>
      </w:r>
      <w:r w:rsidR="00172FD5" w:rsidRPr="005C07A2">
        <w:rPr>
          <w:rStyle w:val="Textoennegrita"/>
          <w:rFonts w:ascii="Arial" w:hAnsi="Arial" w:cs="Arial"/>
          <w:sz w:val="22"/>
          <w:szCs w:val="22"/>
          <w:lang w:val="es-ES"/>
        </w:rPr>
        <w:t xml:space="preserve"> </w:t>
      </w:r>
      <w:r w:rsidR="005314A2" w:rsidRPr="005C07A2">
        <w:rPr>
          <w:rFonts w:ascii="Arial" w:hAnsi="Arial" w:cs="Arial"/>
          <w:sz w:val="22"/>
          <w:szCs w:val="22"/>
          <w:lang w:val="es-ES"/>
        </w:rPr>
        <w:t>COM/2015/0615 final - 2015/0278 (COD));</w:t>
      </w:r>
      <w:r w:rsidR="00172FD5" w:rsidRPr="005C07A2">
        <w:rPr>
          <w:rStyle w:val="Hipervnculo"/>
          <w:rFonts w:ascii="Arial" w:hAnsi="Arial" w:cs="Arial"/>
          <w:color w:val="auto"/>
          <w:sz w:val="22"/>
          <w:szCs w:val="22"/>
          <w:lang w:val="es-ES"/>
        </w:rPr>
        <w:t xml:space="preserve"> </w:t>
      </w:r>
    </w:p>
    <w:p w:rsidR="00BD763C" w:rsidRPr="005C07A2" w:rsidRDefault="00BD763C" w:rsidP="00BD763C">
      <w:pPr>
        <w:pStyle w:val="Piedepgina"/>
        <w:jc w:val="both"/>
        <w:rPr>
          <w:rFonts w:ascii="Arial" w:hAnsi="Arial" w:cs="Arial"/>
          <w:sz w:val="22"/>
          <w:szCs w:val="22"/>
          <w:lang w:val="es-ES"/>
        </w:rPr>
      </w:pPr>
    </w:p>
    <w:p w:rsidR="005314A2" w:rsidRPr="005314A2" w:rsidRDefault="005314A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314A2">
        <w:rPr>
          <w:rFonts w:ascii="Arial" w:hAnsi="Arial" w:cs="Arial"/>
          <w:color w:val="000000"/>
          <w:sz w:val="22"/>
          <w:szCs w:val="22"/>
          <w:lang w:val="es-ES"/>
        </w:rPr>
        <w:t>Recordando que hay 80 millones de personas con Discapacidad en la Uni</w:t>
      </w:r>
      <w:r>
        <w:rPr>
          <w:rFonts w:ascii="Arial" w:hAnsi="Arial" w:cs="Arial"/>
          <w:color w:val="000000"/>
          <w:sz w:val="22"/>
          <w:szCs w:val="22"/>
          <w:lang w:val="es-ES"/>
        </w:rPr>
        <w:t>ón Europea (UE) y que un Mercado Interior accesible beneficiaría no sólo a las personas con discapacidad, sino a tod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 xml:space="preserve"> las personas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respondiendo al cambio demográfico, y teniendo en cuenta las necesidades de 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>las y los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consumidores;</w:t>
      </w:r>
    </w:p>
    <w:p w:rsidR="00BD763C" w:rsidRPr="0090238A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314A2" w:rsidRPr="005314A2" w:rsidRDefault="005314A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314A2">
        <w:rPr>
          <w:rFonts w:ascii="Arial" w:hAnsi="Arial" w:cs="Arial"/>
          <w:color w:val="000000"/>
          <w:sz w:val="22"/>
          <w:szCs w:val="22"/>
          <w:lang w:val="es-ES"/>
        </w:rPr>
        <w:t>Resaltando el hecho que el EDF acogi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ó amablemente la propuesta 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>de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Acta de Accesibilidad publicada por la Comisión Europea en diciembre de 2015, respetando su compromiso 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>con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los derechos de las personas con discapacidad;</w:t>
      </w:r>
    </w:p>
    <w:p w:rsidR="00BD763C" w:rsidRPr="0090238A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314A2" w:rsidRPr="005314A2" w:rsidRDefault="005314A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314A2">
        <w:rPr>
          <w:rFonts w:ascii="Arial" w:hAnsi="Arial" w:cs="Arial"/>
          <w:color w:val="000000"/>
          <w:sz w:val="22"/>
          <w:szCs w:val="22"/>
          <w:lang w:val="es-ES"/>
        </w:rPr>
        <w:t>T</w:t>
      </w:r>
      <w:r>
        <w:rPr>
          <w:rFonts w:ascii="Arial" w:hAnsi="Arial" w:cs="Arial"/>
          <w:color w:val="000000"/>
          <w:sz w:val="22"/>
          <w:szCs w:val="22"/>
          <w:lang w:val="es-ES"/>
        </w:rPr>
        <w:t>eniendo en cuenta que las cuestiones en juego son de gran importancia para las personas con discapacidad que todavía se enfrentan a barreras significativas al acceso de productos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>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servicios</w:t>
      </w:r>
      <w:r w:rsidR="0090238A">
        <w:rPr>
          <w:rFonts w:ascii="Arial" w:hAnsi="Arial" w:cs="Arial"/>
          <w:color w:val="000000"/>
          <w:sz w:val="22"/>
          <w:szCs w:val="22"/>
          <w:lang w:val="es-ES"/>
        </w:rPr>
        <w:t xml:space="preserve"> e instalaciones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en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 xml:space="preserve"> la UE, incluyendo aquellas financi</w:t>
      </w:r>
      <w:r>
        <w:rPr>
          <w:rFonts w:ascii="Arial" w:hAnsi="Arial" w:cs="Arial"/>
          <w:color w:val="000000"/>
          <w:sz w:val="22"/>
          <w:szCs w:val="22"/>
          <w:lang w:val="es-ES"/>
        </w:rPr>
        <w:t>adas por las autoridades públicas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>, y por lo tanto se beneficiarán enormemente de una pieza de legislación sólida y progresi</w:t>
      </w:r>
      <w:r w:rsidR="005F62F4">
        <w:rPr>
          <w:rFonts w:ascii="Arial" w:hAnsi="Arial" w:cs="Arial"/>
          <w:color w:val="000000"/>
          <w:sz w:val="22"/>
          <w:szCs w:val="22"/>
          <w:lang w:val="es-ES"/>
        </w:rPr>
        <w:t>sta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 xml:space="preserve"> que </w:t>
      </w:r>
      <w:r w:rsidR="005F62F4">
        <w:rPr>
          <w:rFonts w:ascii="Arial" w:hAnsi="Arial" w:cs="Arial"/>
          <w:color w:val="000000"/>
          <w:sz w:val="22"/>
          <w:szCs w:val="22"/>
          <w:lang w:val="es-ES"/>
        </w:rPr>
        <w:t>impida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 xml:space="preserve"> la discriminación y garanti</w:t>
      </w:r>
      <w:r w:rsidR="005F62F4">
        <w:rPr>
          <w:rFonts w:ascii="Arial" w:hAnsi="Arial" w:cs="Arial"/>
          <w:color w:val="000000"/>
          <w:sz w:val="22"/>
          <w:szCs w:val="22"/>
          <w:lang w:val="es-ES"/>
        </w:rPr>
        <w:t>ce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 xml:space="preserve"> un Mercado </w:t>
      </w:r>
      <w:r w:rsidR="005F62F4">
        <w:rPr>
          <w:rFonts w:ascii="Arial" w:hAnsi="Arial" w:cs="Arial"/>
          <w:color w:val="000000"/>
          <w:sz w:val="22"/>
          <w:szCs w:val="22"/>
          <w:lang w:val="es-ES"/>
        </w:rPr>
        <w:t xml:space="preserve">Interior 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>Europeo inclusivo.</w:t>
      </w:r>
    </w:p>
    <w:p w:rsidR="00BD763C" w:rsidRPr="0090238A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D44B8" w:rsidRPr="005D44B8" w:rsidRDefault="005C5D65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Subrayando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 xml:space="preserve"> que la libertad de </w:t>
      </w:r>
      <w:r>
        <w:rPr>
          <w:rFonts w:ascii="Arial" w:hAnsi="Arial" w:cs="Arial"/>
          <w:color w:val="000000"/>
          <w:sz w:val="22"/>
          <w:szCs w:val="22"/>
          <w:lang w:val="es-ES"/>
        </w:rPr>
        <w:t>circulación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 xml:space="preserve"> es una de las libertades fundamental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 xml:space="preserve">s </w:t>
      </w:r>
      <w:r>
        <w:rPr>
          <w:rFonts w:ascii="Arial" w:hAnsi="Arial" w:cs="Arial"/>
          <w:color w:val="000000"/>
          <w:sz w:val="22"/>
          <w:szCs w:val="22"/>
          <w:lang w:val="es-ES"/>
        </w:rPr>
        <w:t>reconocidas en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 xml:space="preserve"> los Tr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>atados de la UE y que las perso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5D44B8" w:rsidRPr="005D44B8">
        <w:rPr>
          <w:rFonts w:ascii="Arial" w:hAnsi="Arial" w:cs="Arial"/>
          <w:color w:val="000000"/>
          <w:sz w:val="22"/>
          <w:szCs w:val="22"/>
          <w:lang w:val="es-ES"/>
        </w:rPr>
        <w:t>s con discapacidad</w:t>
      </w:r>
      <w:r w:rsidR="005D44B8">
        <w:rPr>
          <w:rFonts w:ascii="Arial" w:hAnsi="Arial" w:cs="Arial"/>
          <w:color w:val="000000"/>
          <w:sz w:val="22"/>
          <w:szCs w:val="22"/>
          <w:lang w:val="es-ES"/>
        </w:rPr>
        <w:t xml:space="preserve"> actualmente no pueden ejercer este derecho plena y libremente;</w:t>
      </w:r>
    </w:p>
    <w:p w:rsidR="00BD763C" w:rsidRPr="0090238A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D44B8" w:rsidRPr="00453EFF" w:rsidRDefault="005D44B8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Teniendo </w:t>
      </w:r>
      <w:r w:rsidR="005C5D65">
        <w:rPr>
          <w:rFonts w:ascii="Arial" w:hAnsi="Arial" w:cs="Arial"/>
          <w:color w:val="000000"/>
          <w:sz w:val="22"/>
          <w:szCs w:val="22"/>
          <w:lang w:val="es-ES"/>
        </w:rPr>
        <w:t>presente</w:t>
      </w:r>
      <w:r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53EFF">
        <w:rPr>
          <w:rFonts w:ascii="Arial" w:hAnsi="Arial" w:cs="Arial"/>
          <w:color w:val="000000"/>
          <w:sz w:val="22"/>
          <w:szCs w:val="22"/>
          <w:lang w:val="es-ES"/>
        </w:rPr>
        <w:t>qu</w:t>
      </w:r>
      <w:r w:rsidR="00453EFF"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e la UE, habiendo </w:t>
      </w:r>
      <w:r w:rsidR="00453EFF">
        <w:rPr>
          <w:rFonts w:ascii="Arial" w:hAnsi="Arial" w:cs="Arial"/>
          <w:color w:val="000000"/>
          <w:sz w:val="22"/>
          <w:szCs w:val="22"/>
          <w:lang w:val="es-ES"/>
        </w:rPr>
        <w:t xml:space="preserve">concluido la Convención de las Naciones Unidas sobre los Derechos de las Personas con Discapacidad (CDPD), está obligada a adoptar medidas legislativas </w:t>
      </w:r>
      <w:r w:rsidR="005C5D65">
        <w:rPr>
          <w:rFonts w:ascii="Arial" w:hAnsi="Arial" w:cs="Arial"/>
          <w:color w:val="000000"/>
          <w:sz w:val="22"/>
          <w:szCs w:val="22"/>
          <w:lang w:val="es-ES"/>
        </w:rPr>
        <w:t>apropiadas dirigidas a</w:t>
      </w:r>
      <w:r w:rsidR="00453EFF">
        <w:rPr>
          <w:rFonts w:ascii="Arial" w:hAnsi="Arial" w:cs="Arial"/>
          <w:color w:val="000000"/>
          <w:sz w:val="22"/>
          <w:szCs w:val="22"/>
          <w:lang w:val="es-ES"/>
        </w:rPr>
        <w:t xml:space="preserve"> garantizar el derecho a la accesibilidad </w:t>
      </w:r>
      <w:r w:rsidR="005C5D65">
        <w:rPr>
          <w:rFonts w:ascii="Arial" w:hAnsi="Arial" w:cs="Arial"/>
          <w:color w:val="000000"/>
          <w:sz w:val="22"/>
          <w:szCs w:val="22"/>
          <w:lang w:val="es-ES"/>
        </w:rPr>
        <w:t>reconocido en</w:t>
      </w:r>
      <w:r w:rsidR="00453EFF">
        <w:rPr>
          <w:rFonts w:ascii="Arial" w:hAnsi="Arial" w:cs="Arial"/>
          <w:color w:val="000000"/>
          <w:sz w:val="22"/>
          <w:szCs w:val="22"/>
          <w:lang w:val="es-ES"/>
        </w:rPr>
        <w:t xml:space="preserve"> el Artículo 9 de la CDPD y teniendo en cuenta que el Acta no establece ninguna obligación nueva;</w:t>
      </w:r>
    </w:p>
    <w:p w:rsidR="00BD763C" w:rsidRPr="0090238A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53EFF" w:rsidRPr="00453EFF" w:rsidRDefault="00453EFF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Insistiendo que las acciones a </w:t>
      </w:r>
      <w:r w:rsidR="005E1488">
        <w:rPr>
          <w:rFonts w:ascii="Arial" w:hAnsi="Arial" w:cs="Arial"/>
          <w:color w:val="000000"/>
          <w:sz w:val="22"/>
          <w:szCs w:val="22"/>
          <w:lang w:val="es-ES"/>
        </w:rPr>
        <w:t>escala</w:t>
      </w:r>
      <w:r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 de la UE ser</w:t>
      </w:r>
      <w:r>
        <w:rPr>
          <w:rFonts w:ascii="Arial" w:hAnsi="Arial" w:cs="Arial"/>
          <w:color w:val="000000"/>
          <w:sz w:val="22"/>
          <w:szCs w:val="22"/>
          <w:lang w:val="es-ES"/>
        </w:rPr>
        <w:t>ían las más adecuadas ya que garantizarían un campo de juego común tanto para l</w:t>
      </w:r>
      <w:r w:rsidR="005E1488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5E1488">
        <w:rPr>
          <w:rFonts w:ascii="Arial" w:hAnsi="Arial" w:cs="Arial"/>
          <w:color w:val="000000"/>
          <w:sz w:val="22"/>
          <w:szCs w:val="22"/>
          <w:lang w:val="es-ES"/>
        </w:rPr>
        <w:t xml:space="preserve"> personas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consumidor</w:t>
      </w:r>
      <w:r w:rsidR="005E1488">
        <w:rPr>
          <w:rFonts w:ascii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color w:val="000000"/>
          <w:sz w:val="22"/>
          <w:szCs w:val="22"/>
          <w:lang w:val="es-ES"/>
        </w:rPr>
        <w:t>s con discapacidad como para la industria;</w:t>
      </w:r>
    </w:p>
    <w:p w:rsidR="0055427C" w:rsidRDefault="0055427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13DC" w:rsidRPr="00700C29" w:rsidRDefault="00AA7B51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AA7B51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 xml:space="preserve">Teniendo en cuenta que la legislación sectorial no es suficiente para alcanzar el objetivo de la accesibilidad plena de productos y servicios, y que </w:t>
      </w:r>
      <w:r>
        <w:rPr>
          <w:rFonts w:ascii="Arial" w:hAnsi="Arial" w:cs="Arial"/>
          <w:color w:val="000000"/>
          <w:sz w:val="22"/>
          <w:szCs w:val="22"/>
          <w:lang w:val="es-ES"/>
        </w:rPr>
        <w:t>de éstos también se benefician no solo las personas con discapacidad sino el resto de personas consumidoras y usuarias</w:t>
      </w:r>
      <w:r w:rsidR="001413DC" w:rsidRPr="00700C29">
        <w:rPr>
          <w:rFonts w:ascii="Arial" w:hAnsi="Arial" w:cs="Arial"/>
          <w:color w:val="000000"/>
          <w:sz w:val="22"/>
          <w:szCs w:val="22"/>
          <w:lang w:val="es-ES"/>
        </w:rPr>
        <w:t>;</w:t>
      </w:r>
    </w:p>
    <w:p w:rsidR="001413DC" w:rsidRPr="00AA7B51" w:rsidRDefault="001413DC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highlight w:val="yellow"/>
          <w:lang w:val="es-ES"/>
        </w:rPr>
      </w:pPr>
    </w:p>
    <w:p w:rsidR="001413DC" w:rsidRPr="00700C29" w:rsidRDefault="00AA7B51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700C29">
        <w:rPr>
          <w:rFonts w:ascii="Arial" w:hAnsi="Arial" w:cs="Arial"/>
          <w:color w:val="000000"/>
          <w:sz w:val="22"/>
          <w:szCs w:val="22"/>
          <w:lang w:val="es-ES"/>
        </w:rPr>
        <w:t xml:space="preserve">Subrayando que ofrecer bienes y servicios accesibles constituye una oportunidad para crear </w:t>
      </w:r>
      <w:r w:rsidR="00700C29" w:rsidRPr="00700C29">
        <w:rPr>
          <w:rFonts w:ascii="Arial" w:hAnsi="Arial" w:cs="Arial"/>
          <w:color w:val="000000"/>
          <w:sz w:val="22"/>
          <w:szCs w:val="22"/>
          <w:lang w:val="es-ES"/>
        </w:rPr>
        <w:t xml:space="preserve">riqueza, </w:t>
      </w:r>
      <w:r w:rsidR="00700C29">
        <w:rPr>
          <w:rFonts w:ascii="Arial" w:hAnsi="Arial" w:cs="Arial"/>
          <w:color w:val="000000"/>
          <w:sz w:val="22"/>
          <w:szCs w:val="22"/>
          <w:lang w:val="es-ES"/>
        </w:rPr>
        <w:t>haciendo que</w:t>
      </w:r>
      <w:r w:rsidR="00700C29" w:rsidRPr="00700C29">
        <w:rPr>
          <w:rFonts w:ascii="Arial" w:hAnsi="Arial" w:cs="Arial"/>
          <w:color w:val="000000"/>
          <w:sz w:val="22"/>
          <w:szCs w:val="22"/>
          <w:lang w:val="es-ES"/>
        </w:rPr>
        <w:t xml:space="preserve"> las empresas de la UE </w:t>
      </w:r>
      <w:r w:rsidR="00700C29">
        <w:rPr>
          <w:rFonts w:ascii="Arial" w:hAnsi="Arial" w:cs="Arial"/>
          <w:color w:val="000000"/>
          <w:sz w:val="22"/>
          <w:szCs w:val="22"/>
          <w:lang w:val="es-ES"/>
        </w:rPr>
        <w:t xml:space="preserve">sean </w:t>
      </w:r>
      <w:r w:rsidR="00700C29" w:rsidRPr="00700C29">
        <w:rPr>
          <w:rFonts w:ascii="Arial" w:hAnsi="Arial" w:cs="Arial"/>
          <w:color w:val="000000"/>
          <w:sz w:val="22"/>
          <w:szCs w:val="22"/>
          <w:lang w:val="es-ES"/>
        </w:rPr>
        <w:t xml:space="preserve">más competitivas en el mercado global, y que asimismo, existe un coste por excluir a las personas con discapacidad del </w:t>
      </w:r>
      <w:r w:rsidR="00700C29">
        <w:rPr>
          <w:rFonts w:ascii="Arial" w:hAnsi="Arial" w:cs="Arial"/>
          <w:color w:val="000000"/>
          <w:sz w:val="22"/>
          <w:szCs w:val="22"/>
          <w:lang w:val="es-ES"/>
        </w:rPr>
        <w:t>Mercado I</w:t>
      </w:r>
      <w:r w:rsidR="00700C29" w:rsidRPr="00700C29">
        <w:rPr>
          <w:rFonts w:ascii="Arial" w:hAnsi="Arial" w:cs="Arial"/>
          <w:color w:val="000000"/>
          <w:sz w:val="22"/>
          <w:szCs w:val="22"/>
          <w:lang w:val="es-ES"/>
        </w:rPr>
        <w:t>nterior.</w:t>
      </w:r>
      <w:r w:rsidR="001413DC" w:rsidRPr="00700C29">
        <w:rPr>
          <w:rFonts w:ascii="Arial" w:hAnsi="Arial" w:cs="Arial"/>
          <w:color w:val="000000"/>
          <w:sz w:val="22"/>
          <w:szCs w:val="22"/>
          <w:lang w:val="es-ES"/>
        </w:rPr>
        <w:t>;</w:t>
      </w:r>
    </w:p>
    <w:p w:rsidR="001413DC" w:rsidRPr="00700C29" w:rsidRDefault="001413DC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13DC" w:rsidRPr="00700C29" w:rsidRDefault="00700C29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700C29">
        <w:rPr>
          <w:rFonts w:ascii="Arial" w:hAnsi="Arial" w:cs="Arial"/>
          <w:color w:val="000000"/>
          <w:sz w:val="22"/>
          <w:szCs w:val="22"/>
          <w:lang w:val="es-ES"/>
        </w:rPr>
        <w:t>Teniendo en cuenta que en muchos Estados Miembro de la UE el coste de los servicios sociales y la asistencia a las personas con discapacidad est</w:t>
      </w:r>
      <w:r>
        <w:rPr>
          <w:rFonts w:ascii="Arial" w:hAnsi="Arial" w:cs="Arial"/>
          <w:color w:val="000000"/>
          <w:sz w:val="22"/>
          <w:szCs w:val="22"/>
          <w:lang w:val="es-ES"/>
        </w:rPr>
        <w:t>á aumentando y que producir</w:t>
      </w:r>
      <w:r w:rsidRPr="00700C29">
        <w:rPr>
          <w:rFonts w:ascii="Arial" w:hAnsi="Arial" w:cs="Arial"/>
          <w:color w:val="000000"/>
          <w:sz w:val="22"/>
          <w:szCs w:val="22"/>
          <w:lang w:val="es-ES"/>
        </w:rPr>
        <w:t xml:space="preserve"> bienes y servicios, as</w:t>
      </w:r>
      <w:r>
        <w:rPr>
          <w:rFonts w:ascii="Arial" w:hAnsi="Arial" w:cs="Arial"/>
          <w:color w:val="000000"/>
          <w:sz w:val="22"/>
          <w:szCs w:val="22"/>
          <w:lang w:val="es-ES"/>
        </w:rPr>
        <w:t>í como entornos accesibles ayudará a mitigar dichos costes, al tiempo que ensanchará el mercado a un nuevo segmento de consumo;</w:t>
      </w:r>
    </w:p>
    <w:p w:rsidR="001413DC" w:rsidRPr="00700C29" w:rsidRDefault="001413DC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21CF" w:rsidRDefault="00453EFF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453EFF">
        <w:rPr>
          <w:rFonts w:ascii="Arial" w:hAnsi="Arial" w:cs="Arial"/>
          <w:color w:val="000000"/>
          <w:sz w:val="22"/>
          <w:szCs w:val="22"/>
          <w:lang w:val="es-ES"/>
        </w:rPr>
        <w:t>Resaltando q</w:t>
      </w:r>
      <w:r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Pr="00453EFF">
        <w:rPr>
          <w:rFonts w:ascii="Arial" w:hAnsi="Arial" w:cs="Arial"/>
          <w:color w:val="000000"/>
          <w:sz w:val="22"/>
          <w:szCs w:val="22"/>
          <w:lang w:val="es-ES"/>
        </w:rPr>
        <w:t xml:space="preserve">e si la accesibilidad se tiene en cuenta desde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el 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inici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o no incrementará los precios para 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quienes consumen</w:t>
      </w:r>
      <w:r>
        <w:rPr>
          <w:rFonts w:ascii="Arial" w:hAnsi="Arial" w:cs="Arial"/>
          <w:color w:val="000000"/>
          <w:sz w:val="22"/>
          <w:szCs w:val="22"/>
          <w:lang w:val="es-ES"/>
        </w:rPr>
        <w:t>, sino que fomentará la innovación y facilitará la participación de las personas con discapacidad en todos los ámbitos de la vida;</w:t>
      </w:r>
    </w:p>
    <w:p w:rsidR="001413DC" w:rsidRDefault="001413D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13DC" w:rsidRPr="004A7586" w:rsidRDefault="004A7586" w:rsidP="004A758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A7586">
        <w:rPr>
          <w:rFonts w:ascii="Arial" w:hAnsi="Arial" w:cs="Arial"/>
          <w:bCs/>
          <w:sz w:val="22"/>
          <w:szCs w:val="22"/>
          <w:lang w:val="es-ES"/>
        </w:rPr>
        <w:t xml:space="preserve">Recordando que el concepto de lengua, tal como se recoge en la CDPD de la ONU, incluye tanto las lenguas habladas como las lenguas de signos; </w:t>
      </w:r>
    </w:p>
    <w:p w:rsidR="001413DC" w:rsidRPr="004A7586" w:rsidRDefault="001413DC" w:rsidP="001413DC">
      <w:pPr>
        <w:pStyle w:val="Piedepgina"/>
        <w:jc w:val="both"/>
        <w:rPr>
          <w:rFonts w:ascii="Arial" w:hAnsi="Arial" w:cs="Arial"/>
          <w:sz w:val="22"/>
          <w:szCs w:val="22"/>
          <w:lang w:val="es-ES"/>
        </w:rPr>
      </w:pPr>
    </w:p>
    <w:p w:rsidR="001413DC" w:rsidRPr="004A7586" w:rsidRDefault="004A7586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4A7586">
        <w:rPr>
          <w:rFonts w:ascii="Arial" w:hAnsi="Arial" w:cs="Arial"/>
          <w:bCs/>
          <w:sz w:val="22"/>
          <w:szCs w:val="22"/>
          <w:lang w:val="es-ES"/>
        </w:rPr>
        <w:t>Recordando que</w:t>
      </w:r>
      <w:r w:rsidRPr="004A7586">
        <w:rPr>
          <w:rFonts w:ascii="Arial" w:hAnsi="Arial" w:cs="Arial"/>
          <w:color w:val="000000"/>
          <w:sz w:val="22"/>
          <w:szCs w:val="22"/>
          <w:lang w:val="es-ES"/>
        </w:rPr>
        <w:t xml:space="preserve"> ya hay una crisis de confianza en la Unión Europea y que la ciudadanía espera que las instituciones de la UE respondan a sus necesidades; </w:t>
      </w:r>
    </w:p>
    <w:p w:rsidR="001413DC" w:rsidRPr="004A7586" w:rsidRDefault="001413DC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highlight w:val="yellow"/>
          <w:lang w:val="es-ES"/>
        </w:rPr>
      </w:pPr>
    </w:p>
    <w:p w:rsidR="001413DC" w:rsidRPr="00F407C2" w:rsidRDefault="004A7586" w:rsidP="001413DC">
      <w:pPr>
        <w:pStyle w:val="Piedepgina"/>
        <w:jc w:val="both"/>
        <w:rPr>
          <w:rFonts w:ascii="Arial" w:hAnsi="Arial" w:cs="Arial"/>
          <w:sz w:val="22"/>
          <w:szCs w:val="22"/>
          <w:lang w:val="es-ES"/>
        </w:rPr>
      </w:pPr>
      <w:r w:rsidRPr="00F407C2">
        <w:rPr>
          <w:rFonts w:ascii="Arial" w:hAnsi="Arial" w:cs="Arial"/>
          <w:bCs/>
          <w:sz w:val="22"/>
          <w:szCs w:val="22"/>
          <w:lang w:val="es-ES"/>
        </w:rPr>
        <w:t>Recordando que</w:t>
      </w:r>
      <w:r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F407C2">
        <w:rPr>
          <w:rFonts w:ascii="Arial" w:hAnsi="Arial" w:cs="Arial"/>
          <w:sz w:val="22"/>
          <w:szCs w:val="22"/>
          <w:lang w:val="es-ES"/>
        </w:rPr>
        <w:t xml:space="preserve">las soluciones tecnológicas para crear productos y servicios accesibles </w:t>
      </w:r>
      <w:r w:rsidR="00F407C2" w:rsidRPr="00F407C2">
        <w:rPr>
          <w:rFonts w:ascii="Arial" w:hAnsi="Arial" w:cs="Arial"/>
          <w:sz w:val="22"/>
          <w:szCs w:val="22"/>
          <w:lang w:val="es-ES"/>
        </w:rPr>
        <w:t xml:space="preserve">suelen existir ya y pueden asimismo estimular la competitividad y la creatividad; </w:t>
      </w:r>
    </w:p>
    <w:p w:rsidR="001413DC" w:rsidRPr="00F407C2" w:rsidRDefault="001413DC" w:rsidP="001413DC">
      <w:pPr>
        <w:pStyle w:val="Piedepgina"/>
        <w:jc w:val="both"/>
        <w:rPr>
          <w:rFonts w:ascii="Arial" w:hAnsi="Arial" w:cs="Arial"/>
          <w:sz w:val="22"/>
          <w:szCs w:val="22"/>
          <w:lang w:val="es-ES"/>
        </w:rPr>
      </w:pPr>
    </w:p>
    <w:p w:rsidR="001413DC" w:rsidRPr="00F407C2" w:rsidRDefault="004A7586" w:rsidP="001413D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407C2">
        <w:rPr>
          <w:rFonts w:ascii="Arial" w:hAnsi="Arial" w:cs="Arial"/>
          <w:bCs/>
          <w:sz w:val="22"/>
          <w:szCs w:val="22"/>
          <w:lang w:val="es-ES"/>
        </w:rPr>
        <w:t>Recordando que</w:t>
      </w:r>
      <w:r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07C2"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el Acta de Accesibilidad es asimismo una herramienta para cumplir los Objetivos de </w:t>
      </w:r>
      <w:r w:rsidR="001413DC"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407C2" w:rsidRPr="00F407C2">
        <w:rPr>
          <w:rFonts w:ascii="Arial" w:hAnsi="Arial" w:cs="Arial"/>
          <w:color w:val="000000"/>
          <w:sz w:val="22"/>
          <w:szCs w:val="22"/>
          <w:lang w:val="es-ES"/>
        </w:rPr>
        <w:t>Desarrollo Sostenible</w:t>
      </w:r>
      <w:r w:rsidR="001413DC"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="00F407C2">
        <w:rPr>
          <w:rFonts w:ascii="Arial" w:hAnsi="Arial" w:cs="Arial"/>
          <w:color w:val="000000"/>
          <w:sz w:val="22"/>
          <w:szCs w:val="22"/>
          <w:lang w:val="es-ES"/>
        </w:rPr>
        <w:t>ODS</w:t>
      </w:r>
      <w:r w:rsidR="001413DC" w:rsidRPr="00F407C2">
        <w:rPr>
          <w:rFonts w:ascii="Arial" w:hAnsi="Arial" w:cs="Arial"/>
          <w:color w:val="000000"/>
          <w:sz w:val="22"/>
          <w:szCs w:val="22"/>
          <w:lang w:val="es-ES"/>
        </w:rPr>
        <w:t>s</w:t>
      </w:r>
      <w:proofErr w:type="spellEnd"/>
      <w:r w:rsidR="001413DC" w:rsidRPr="00F407C2">
        <w:rPr>
          <w:rFonts w:ascii="Arial" w:hAnsi="Arial" w:cs="Arial"/>
          <w:color w:val="000000"/>
          <w:sz w:val="22"/>
          <w:szCs w:val="22"/>
          <w:lang w:val="es-ES"/>
        </w:rPr>
        <w:t>);</w:t>
      </w:r>
    </w:p>
    <w:p w:rsidR="00985612" w:rsidRPr="00F407C2" w:rsidRDefault="0098561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53EFF" w:rsidRPr="00453EFF" w:rsidRDefault="00453EFF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Lamentando que el borrador de informe adoptado por el Comité sobre el Mercado Interior y Protección del Consumidor (IMCO) del Parlamento Europeo el 25 de abril </w:t>
      </w:r>
      <w:r w:rsidR="005B5014">
        <w:rPr>
          <w:rFonts w:ascii="Arial" w:hAnsi="Arial" w:cs="Arial"/>
          <w:color w:val="000000"/>
          <w:sz w:val="22"/>
          <w:szCs w:val="22"/>
          <w:lang w:val="es-ES"/>
        </w:rPr>
        <w:t>debilit</w:t>
      </w:r>
      <w:r w:rsidR="001413DC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5B5014">
        <w:rPr>
          <w:rFonts w:ascii="Arial" w:hAnsi="Arial" w:cs="Arial"/>
          <w:color w:val="000000"/>
          <w:sz w:val="22"/>
          <w:szCs w:val="22"/>
          <w:lang w:val="es-ES"/>
        </w:rPr>
        <w:t xml:space="preserve"> la propuesta original de la Comisión en 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aspectos</w:t>
      </w:r>
      <w:r w:rsidR="001413DC">
        <w:rPr>
          <w:rFonts w:ascii="Arial" w:hAnsi="Arial" w:cs="Arial"/>
          <w:color w:val="000000"/>
          <w:sz w:val="22"/>
          <w:szCs w:val="22"/>
          <w:lang w:val="es-ES"/>
        </w:rPr>
        <w:t xml:space="preserve"> clave y, por tanto, no cumpl</w:t>
      </w:r>
      <w:r w:rsidR="00AA7B51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1413DC">
        <w:rPr>
          <w:rFonts w:ascii="Arial" w:hAnsi="Arial" w:cs="Arial"/>
          <w:color w:val="000000"/>
          <w:sz w:val="22"/>
          <w:szCs w:val="22"/>
          <w:lang w:val="es-ES"/>
        </w:rPr>
        <w:t xml:space="preserve"> las expectativas </w:t>
      </w:r>
      <w:r w:rsidR="00AA7B51">
        <w:rPr>
          <w:rFonts w:ascii="Arial" w:hAnsi="Arial" w:cs="Arial"/>
          <w:color w:val="000000"/>
          <w:sz w:val="22"/>
          <w:szCs w:val="22"/>
          <w:lang w:val="es-ES"/>
        </w:rPr>
        <w:t xml:space="preserve">de millones de europeas y europeos con discapacidad y </w:t>
      </w:r>
      <w:r w:rsidR="001413DC">
        <w:rPr>
          <w:rFonts w:ascii="Arial" w:hAnsi="Arial" w:cs="Arial"/>
          <w:color w:val="000000"/>
          <w:sz w:val="22"/>
          <w:szCs w:val="22"/>
          <w:lang w:val="es-ES"/>
        </w:rPr>
        <w:t>del sector social de la discapacidad</w:t>
      </w:r>
      <w:r w:rsidR="00AA7B51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96121" w:rsidRPr="0090238A" w:rsidRDefault="00596121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B5014" w:rsidRPr="005B5014" w:rsidRDefault="005B5014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B5014">
        <w:rPr>
          <w:rFonts w:ascii="Arial" w:hAnsi="Arial" w:cs="Arial"/>
          <w:color w:val="000000"/>
          <w:sz w:val="22"/>
          <w:szCs w:val="22"/>
          <w:lang w:val="es-ES"/>
        </w:rPr>
        <w:t>Recordando que este borrador de informe contradice completamente t</w:t>
      </w:r>
      <w:r>
        <w:rPr>
          <w:rFonts w:ascii="Arial" w:hAnsi="Arial" w:cs="Arial"/>
          <w:color w:val="000000"/>
          <w:sz w:val="22"/>
          <w:szCs w:val="22"/>
          <w:lang w:val="es-ES"/>
        </w:rPr>
        <w:t>odos la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s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declaraciones 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>anteriores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del Parlamento Europeo sobre el Acta Europea de Accesibilidad y en concreto la resolución del Parlamento Europeo de 7 de julio de 2016 sobre la CDPD;</w:t>
      </w:r>
    </w:p>
    <w:p w:rsidR="00A021CF" w:rsidRPr="0090238A" w:rsidRDefault="00A021CF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B5014" w:rsidRPr="005B5014" w:rsidRDefault="005B5014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B5014">
        <w:rPr>
          <w:rFonts w:ascii="Arial" w:hAnsi="Arial" w:cs="Arial"/>
          <w:color w:val="000000"/>
          <w:sz w:val="22"/>
          <w:szCs w:val="22"/>
          <w:lang w:val="es-ES"/>
        </w:rPr>
        <w:t>Recordando la protesta pací</w:t>
      </w:r>
      <w:r>
        <w:rPr>
          <w:rFonts w:ascii="Arial" w:hAnsi="Arial" w:cs="Arial"/>
          <w:color w:val="000000"/>
          <w:sz w:val="22"/>
          <w:szCs w:val="22"/>
          <w:lang w:val="es-ES"/>
        </w:rPr>
        <w:t>fica que tuvo lugar el 6 de marz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>o frente a</w:t>
      </w:r>
      <w:r>
        <w:rPr>
          <w:rFonts w:ascii="Arial" w:hAnsi="Arial" w:cs="Arial"/>
          <w:color w:val="000000"/>
          <w:sz w:val="22"/>
          <w:szCs w:val="22"/>
          <w:lang w:val="es-ES"/>
        </w:rPr>
        <w:t>l Parlamento  Europeo en Brusel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as en la que el </w:t>
      </w:r>
      <w:r w:rsidR="00172FD5">
        <w:rPr>
          <w:rFonts w:ascii="Arial" w:hAnsi="Arial" w:cs="Arial"/>
          <w:color w:val="000000"/>
          <w:sz w:val="22"/>
          <w:szCs w:val="22"/>
          <w:lang w:val="es-ES"/>
        </w:rPr>
        <w:t>sector social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 de la </w:t>
      </w:r>
      <w:r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iscapacidad y </w:t>
      </w:r>
      <w:r>
        <w:rPr>
          <w:rFonts w:ascii="Arial" w:hAnsi="Arial" w:cs="Arial"/>
          <w:color w:val="000000"/>
          <w:sz w:val="22"/>
          <w:szCs w:val="22"/>
          <w:lang w:val="es-ES"/>
        </w:rPr>
        <w:t>otras organizaciones de la sociedad civil llamaron a las instituciones europeas a apoyar un Acta de Accesibilidad que elimine las barreras en la vida diaria de las personas con discapacidad;</w:t>
      </w:r>
    </w:p>
    <w:p w:rsidR="00016248" w:rsidRPr="0090238A" w:rsidRDefault="00016248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B5014" w:rsidRPr="005B5014" w:rsidRDefault="005B5014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5B5014">
        <w:rPr>
          <w:rFonts w:ascii="Arial" w:hAnsi="Arial" w:cs="Arial"/>
          <w:color w:val="000000"/>
          <w:sz w:val="22"/>
          <w:szCs w:val="22"/>
          <w:lang w:val="es-ES"/>
        </w:rPr>
        <w:t>Recordando que las pri</w:t>
      </w:r>
      <w:r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ridades del EDF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sobre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 la propuesta legislat</w:t>
      </w:r>
      <w:r>
        <w:rPr>
          <w:rFonts w:ascii="Arial" w:hAnsi="Arial" w:cs="Arial"/>
          <w:color w:val="000000"/>
          <w:sz w:val="22"/>
          <w:szCs w:val="22"/>
          <w:lang w:val="es-ES"/>
        </w:rPr>
        <w:t>iva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Pr="005B5014">
        <w:rPr>
          <w:rFonts w:ascii="Arial" w:hAnsi="Arial" w:cs="Arial"/>
          <w:color w:val="000000"/>
          <w:sz w:val="22"/>
          <w:szCs w:val="22"/>
          <w:lang w:val="es-ES"/>
        </w:rPr>
        <w:t>el Acta de Accesibilidad son:</w:t>
      </w:r>
    </w:p>
    <w:p w:rsidR="00BD763C" w:rsidRPr="005B5014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A406E" w:rsidRPr="00B465B0" w:rsidRDefault="005B5014" w:rsidP="000A406E">
      <w:pPr>
        <w:pStyle w:val="Piedepgin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465B0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Definir un ámbito amplio y ambicioso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>, incluyendo un cl</w:t>
      </w:r>
      <w:r w:rsidR="00B465B0">
        <w:rPr>
          <w:rFonts w:ascii="Arial" w:hAnsi="Arial" w:cs="Arial"/>
          <w:color w:val="000000"/>
          <w:sz w:val="22"/>
          <w:szCs w:val="22"/>
          <w:lang w:val="es-ES"/>
        </w:rPr>
        <w:t>áusula obligatoria sobre accesibilidad del entorno construido</w:t>
      </w:r>
    </w:p>
    <w:p w:rsidR="00A021CF" w:rsidRPr="00B465B0" w:rsidRDefault="00A021CF" w:rsidP="00A021CF">
      <w:pPr>
        <w:pStyle w:val="Piedepgina"/>
        <w:ind w:left="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21CF" w:rsidRPr="00B465B0" w:rsidRDefault="00622699" w:rsidP="00A021CF">
      <w:pPr>
        <w:pStyle w:val="Piedepgin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Mantener 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 xml:space="preserve">un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ámbito de 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>aplicación ampli</w:t>
      </w:r>
      <w:r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 xml:space="preserve"> del Acta de Accesibilidad para otras </w:t>
      </w:r>
      <w:r>
        <w:rPr>
          <w:rFonts w:ascii="Arial" w:hAnsi="Arial" w:cs="Arial"/>
          <w:color w:val="000000"/>
          <w:sz w:val="22"/>
          <w:szCs w:val="22"/>
          <w:lang w:val="es-ES"/>
        </w:rPr>
        <w:t>normas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 xml:space="preserve"> de la UE, tales como la Directiva sobre </w:t>
      </w:r>
      <w:r>
        <w:rPr>
          <w:rFonts w:ascii="Arial" w:hAnsi="Arial" w:cs="Arial"/>
          <w:color w:val="000000"/>
          <w:sz w:val="22"/>
          <w:szCs w:val="22"/>
          <w:lang w:val="es-ES"/>
        </w:rPr>
        <w:t>Contratació</w:t>
      </w:r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 xml:space="preserve">n Pública, los Fondos ESTRUCTURALES Europeos, y las Redes </w:t>
      </w:r>
      <w:proofErr w:type="spellStart"/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>Trans</w:t>
      </w:r>
      <w:proofErr w:type="spellEnd"/>
      <w:r w:rsidR="00B465B0" w:rsidRPr="00B465B0">
        <w:rPr>
          <w:rFonts w:ascii="Arial" w:hAnsi="Arial" w:cs="Arial"/>
          <w:color w:val="000000"/>
          <w:sz w:val="22"/>
          <w:szCs w:val="22"/>
          <w:lang w:val="es-ES"/>
        </w:rPr>
        <w:t xml:space="preserve">-Europeas (TEN-T) </w:t>
      </w:r>
      <w:r w:rsidR="00B465B0">
        <w:rPr>
          <w:rFonts w:ascii="Arial" w:hAnsi="Arial" w:cs="Arial"/>
          <w:color w:val="000000"/>
          <w:sz w:val="22"/>
          <w:szCs w:val="22"/>
          <w:lang w:val="es-ES"/>
        </w:rPr>
        <w:t>a fin de aclarar las obligaciones ya cubiertas bajo estas piezas de legislación.</w:t>
      </w:r>
    </w:p>
    <w:p w:rsidR="00A021CF" w:rsidRPr="00B465B0" w:rsidRDefault="00A021CF" w:rsidP="00A021CF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21CF" w:rsidRDefault="00622699" w:rsidP="00A021CF">
      <w:pPr>
        <w:pStyle w:val="Piedepgin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Garantiz</w:t>
      </w:r>
      <w:r w:rsidR="00342FDE" w:rsidRPr="00342FDE">
        <w:rPr>
          <w:rFonts w:ascii="Arial" w:hAnsi="Arial" w:cs="Arial"/>
          <w:color w:val="000000"/>
          <w:sz w:val="22"/>
          <w:szCs w:val="22"/>
          <w:lang w:val="es-ES"/>
        </w:rPr>
        <w:t>ar que los Servicios de Medios Audiovisuales, libros electrónicos, así como el transporte sean cubiertos por el Acta a fin de garantizar la coherencia en la UE y un alto nivel de requisitos de accesibilidad cubriendo todos los aspectos de estos servicios y, por consiguiente, complementando la legislación sectorial.</w:t>
      </w:r>
    </w:p>
    <w:p w:rsidR="00342FDE" w:rsidRPr="00342FDE" w:rsidRDefault="00342FDE" w:rsidP="00342FDE">
      <w:pPr>
        <w:pStyle w:val="Piedepgina"/>
        <w:ind w:left="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21CF" w:rsidRPr="00B0618C" w:rsidRDefault="00342FDE" w:rsidP="00A021CF">
      <w:pPr>
        <w:pStyle w:val="Piedepgin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Fortalecer las </w:t>
      </w:r>
      <w:r w:rsidR="00622699" w:rsidRPr="00B0618C">
        <w:rPr>
          <w:rFonts w:ascii="Arial" w:hAnsi="Arial" w:cs="Arial"/>
          <w:color w:val="000000"/>
          <w:sz w:val="22"/>
          <w:szCs w:val="22"/>
          <w:lang w:val="es-ES"/>
        </w:rPr>
        <w:t>disposiciones</w:t>
      </w:r>
      <w:r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 sobre</w:t>
      </w:r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 la Vigilancia</w:t>
      </w:r>
      <w:r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 de</w:t>
      </w:r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l Mercado y la aplicación del Acta para apoyar su implementación, incluyendo las obligaciones a </w:t>
      </w:r>
      <w:proofErr w:type="spellStart"/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>microemporesas</w:t>
      </w:r>
      <w:proofErr w:type="spellEnd"/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 y Pequeñas y Medianas Empresas (</w:t>
      </w:r>
      <w:proofErr w:type="spellStart"/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>PYMEs</w:t>
      </w:r>
      <w:proofErr w:type="spellEnd"/>
      <w:r w:rsidR="00B0618C" w:rsidRPr="00B0618C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A406E" w:rsidRPr="00B0618C" w:rsidRDefault="000A406E" w:rsidP="000A406E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30AB7" w:rsidRPr="00B0618C" w:rsidRDefault="00B0618C" w:rsidP="000A406E">
      <w:pPr>
        <w:pStyle w:val="Piedepgin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Fortalecer los requisitos de accesibilidad expuestos en el Acta para responder a las especificidades de los diferentes productos y servicios </w:t>
      </w:r>
      <w:r>
        <w:rPr>
          <w:rFonts w:ascii="Arial" w:hAnsi="Arial" w:cs="Arial"/>
          <w:color w:val="000000"/>
          <w:sz w:val="22"/>
          <w:szCs w:val="22"/>
          <w:lang w:val="es-ES"/>
        </w:rPr>
        <w:t>al mismo tiempo que se permita</w:t>
      </w:r>
      <w:r w:rsidRPr="00B0618C">
        <w:rPr>
          <w:rFonts w:ascii="Arial" w:hAnsi="Arial" w:cs="Arial"/>
          <w:color w:val="000000"/>
          <w:sz w:val="22"/>
          <w:szCs w:val="22"/>
          <w:lang w:val="es-ES"/>
        </w:rPr>
        <w:t>n soluciones innovadoras.</w:t>
      </w:r>
      <w:r w:rsidR="00030AB7" w:rsidRPr="00B0618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663EF7" w:rsidRPr="00B0618C" w:rsidRDefault="00BD763C" w:rsidP="00663EF7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0618C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BD763C" w:rsidRDefault="00F407C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Recordando que el EDF pone a disposición de las personas responsables de la toma de decisiones de la UE, así como de la industria, todo su conocimiento y experiencia, a fin de encontrar soluciones concretas y ayudar a ponerlas en práctica. </w:t>
      </w:r>
      <w:r w:rsidR="00AA7B51" w:rsidRPr="00F407C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F407C2" w:rsidRPr="00F407C2" w:rsidRDefault="00F407C2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D763C" w:rsidRPr="007071B2" w:rsidRDefault="00B0618C" w:rsidP="00BD763C">
      <w:pPr>
        <w:pStyle w:val="Piedepgina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7071B2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El Foro Europeo </w:t>
      </w:r>
      <w:r w:rsidR="007071B2">
        <w:rPr>
          <w:rFonts w:ascii="Arial" w:hAnsi="Arial" w:cs="Arial"/>
          <w:b/>
          <w:color w:val="000000"/>
          <w:sz w:val="22"/>
          <w:szCs w:val="22"/>
          <w:lang w:val="es-ES"/>
        </w:rPr>
        <w:t>de la discapacidad apela a:</w:t>
      </w:r>
    </w:p>
    <w:p w:rsidR="00BD763C" w:rsidRPr="007071B2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D763C" w:rsidRPr="00A04A59" w:rsidRDefault="00A04A59" w:rsidP="00663EF7">
      <w:pPr>
        <w:pStyle w:val="Piedepgina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la </w:t>
      </w:r>
      <w:r w:rsidR="00985612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samblea </w:t>
      </w:r>
      <w:r w:rsidR="00985612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P</w:t>
      </w:r>
      <w:r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lenaria del Parlamento Europeo a modificar considerablemente el informe del IMCO para un Acta sólida, ambiciosa y significativa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que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 respond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 a los derech</w:t>
      </w:r>
      <w:r>
        <w:rPr>
          <w:rFonts w:ascii="Arial" w:hAnsi="Arial" w:cs="Arial"/>
          <w:color w:val="000000"/>
          <w:sz w:val="22"/>
          <w:szCs w:val="22"/>
          <w:lang w:val="es-ES"/>
        </w:rPr>
        <w:t>os y ex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pectativas de los 80 millones de 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>ersonas con Discapacidad</w:t>
      </w:r>
      <w:r w:rsidR="00985612">
        <w:rPr>
          <w:rFonts w:ascii="Arial" w:hAnsi="Arial" w:cs="Arial"/>
          <w:color w:val="000000"/>
          <w:sz w:val="22"/>
          <w:szCs w:val="22"/>
          <w:lang w:val="es-ES"/>
        </w:rPr>
        <w:t xml:space="preserve"> de Europa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>, como ya ha hecho satisfactoriamente con al recientemente adoptada Directiva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sobre la accesibilidad de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los sitios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w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>eb y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 xml:space="preserve"> las aplicaciones para dispositivos</w:t>
      </w:r>
      <w:r w:rsidRPr="00A04A5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móviles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de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 xml:space="preserve"> los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o</w:t>
      </w:r>
      <w:r>
        <w:rPr>
          <w:rFonts w:ascii="Arial" w:hAnsi="Arial" w:cs="Arial"/>
          <w:color w:val="000000"/>
          <w:sz w:val="22"/>
          <w:szCs w:val="22"/>
          <w:lang w:val="es-ES"/>
        </w:rPr>
        <w:t>rganismos del Sector Público</w:t>
      </w:r>
      <w:r w:rsidR="00622699">
        <w:rPr>
          <w:rFonts w:ascii="Arial" w:hAnsi="Arial" w:cs="Arial"/>
          <w:color w:val="000000"/>
          <w:sz w:val="22"/>
          <w:szCs w:val="22"/>
          <w:lang w:val="es-ES"/>
        </w:rPr>
        <w:t>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con su resolución del 7 de julio de 2016 sobre la implementación de la CDPD;</w:t>
      </w:r>
    </w:p>
    <w:p w:rsidR="00BD763C" w:rsidRPr="00A04A59" w:rsidRDefault="00BD763C" w:rsidP="00BD763C">
      <w:pPr>
        <w:pStyle w:val="Piedepgina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D763C" w:rsidRPr="004D17BC" w:rsidRDefault="000C0E1A" w:rsidP="00A04A59">
      <w:pPr>
        <w:pStyle w:val="Piedepgina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el</w:t>
      </w:r>
      <w:r w:rsidR="00A04A59" w:rsidRPr="004D17B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04A59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Consejo de la UE a estar a la altura de sus obligaciones de implementar la CDPD en la UE</w:t>
      </w:r>
      <w:r w:rsidR="00A04A59" w:rsidRPr="004D17BC">
        <w:rPr>
          <w:rFonts w:ascii="Arial" w:hAnsi="Arial" w:cs="Arial"/>
          <w:color w:val="000000"/>
          <w:sz w:val="22"/>
          <w:szCs w:val="22"/>
          <w:lang w:val="es-ES"/>
        </w:rPr>
        <w:t xml:space="preserve"> y tomar medidas adecuadas para una rápida adopción de la propuesta </w:t>
      </w:r>
      <w:r w:rsidR="00A04A59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al mismo tiempo que se mantengan partes esenciales del texto, tales como la accesibilidad del entorno constru</w:t>
      </w:r>
      <w:r w:rsidR="004D17BC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i</w:t>
      </w:r>
      <w:r w:rsidR="00A04A59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do</w:t>
      </w:r>
      <w:r w:rsidR="00AA7B51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>, el transporte</w:t>
      </w:r>
      <w:r w:rsidR="00A04A59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4D17BC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y la relación con otras </w:t>
      </w:r>
      <w:r w:rsidR="00AA7B51">
        <w:rPr>
          <w:rFonts w:ascii="Arial" w:hAnsi="Arial" w:cs="Arial"/>
          <w:b/>
          <w:color w:val="000000"/>
          <w:sz w:val="22"/>
          <w:szCs w:val="22"/>
          <w:lang w:val="es-ES"/>
        </w:rPr>
        <w:t>normas</w:t>
      </w:r>
      <w:r w:rsidR="004D17BC" w:rsidRPr="00AA7B5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de la Unión</w:t>
      </w:r>
      <w:r w:rsidR="004D17BC">
        <w:rPr>
          <w:rFonts w:ascii="Arial" w:hAnsi="Arial" w:cs="Arial"/>
          <w:color w:val="000000"/>
          <w:sz w:val="22"/>
          <w:szCs w:val="22"/>
          <w:lang w:val="es-ES"/>
        </w:rPr>
        <w:t xml:space="preserve">, así como consultar a las personas con discapacidad y sus organizaciones representativas tanto a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escala </w:t>
      </w:r>
      <w:r w:rsidR="004D17BC">
        <w:rPr>
          <w:rFonts w:ascii="Arial" w:hAnsi="Arial" w:cs="Arial"/>
          <w:color w:val="000000"/>
          <w:sz w:val="22"/>
          <w:szCs w:val="22"/>
          <w:lang w:val="es-ES"/>
        </w:rPr>
        <w:t xml:space="preserve">de la UE como a </w:t>
      </w:r>
      <w:r>
        <w:rPr>
          <w:rFonts w:ascii="Arial" w:hAnsi="Arial" w:cs="Arial"/>
          <w:color w:val="000000"/>
          <w:sz w:val="22"/>
          <w:szCs w:val="22"/>
          <w:lang w:val="es-ES"/>
        </w:rPr>
        <w:t>escala</w:t>
      </w:r>
      <w:r w:rsidR="004D17BC">
        <w:rPr>
          <w:rFonts w:ascii="Arial" w:hAnsi="Arial" w:cs="Arial"/>
          <w:color w:val="000000"/>
          <w:sz w:val="22"/>
          <w:szCs w:val="22"/>
          <w:lang w:val="es-ES"/>
        </w:rPr>
        <w:t xml:space="preserve"> nacional en todos los pasos del proceso de toma de decisiones.</w:t>
      </w:r>
    </w:p>
    <w:sectPr w:rsidR="00BD763C" w:rsidRPr="004D17BC" w:rsidSect="001B3E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01" w:right="1134" w:bottom="1134" w:left="1134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00" w:rsidRDefault="00107500" w:rsidP="00713123">
      <w:r>
        <w:separator/>
      </w:r>
    </w:p>
  </w:endnote>
  <w:endnote w:type="continuationSeparator" w:id="0">
    <w:p w:rsidR="00107500" w:rsidRDefault="00107500" w:rsidP="00713123">
      <w:r>
        <w:continuationSeparator/>
      </w:r>
    </w:p>
  </w:endnote>
  <w:endnote w:type="continuationNotice" w:id="1">
    <w:p w:rsidR="00107500" w:rsidRDefault="00107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3" w:rsidRDefault="006B29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0C" w:rsidRDefault="00AD1A0C">
    <w:pPr>
      <w:pStyle w:val="Piedepgina"/>
      <w:jc w:val="center"/>
    </w:pPr>
  </w:p>
  <w:p w:rsidR="00AD1A0C" w:rsidRDefault="00AD1A0C">
    <w:pPr>
      <w:pStyle w:val="Piedepgina"/>
      <w:jc w:val="center"/>
    </w:pPr>
  </w:p>
  <w:p w:rsidR="00AD1A0C" w:rsidRDefault="00700C29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858000" cy="488950"/>
              <wp:effectExtent l="0" t="0" r="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A0C" w:rsidRPr="007A60C9" w:rsidRDefault="00AD1A0C" w:rsidP="003C04D4">
                          <w:pPr>
                            <w:pStyle w:val="Piedepgina"/>
                            <w:pBdr>
                              <w:left w:val="single" w:sz="2" w:space="31" w:color="000000"/>
                            </w:pBdr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ind w:left="-787"/>
                            <w:rPr>
                              <w:rFonts w:ascii="Arial" w:hAnsi="Arial"/>
                              <w:sz w:val="20"/>
                            </w:rPr>
                          </w:pP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  <w:t xml:space="preserve">35 square de </w:t>
                          </w:r>
                          <w:proofErr w:type="spellStart"/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>Meeûs</w:t>
                          </w:r>
                          <w:proofErr w:type="spellEnd"/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proofErr w:type="spellStart"/>
                          <w:r w:rsidRPr="007A60C9">
                            <w:rPr>
                              <w:rFonts w:ascii="Arial" w:hAnsi="Arial"/>
                              <w:b/>
                              <w:color w:val="007AB7"/>
                              <w:sz w:val="20"/>
                            </w:rPr>
                            <w:t>tel</w:t>
                          </w:r>
                          <w:proofErr w:type="spellEnd"/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 xml:space="preserve"> +32 2 282 46 00</w:t>
                          </w: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hyperlink r:id="rId1" w:history="1">
                            <w:r w:rsidR="00E13211" w:rsidRPr="00771CDB">
                              <w:rPr>
                                <w:rStyle w:val="Hipervnculo"/>
                                <w:rFonts w:ascii="Arial" w:hAnsi="Arial"/>
                                <w:sz w:val="20"/>
                              </w:rPr>
                              <w:t>info@edf-feph.org</w:t>
                            </w:r>
                          </w:hyperlink>
                        </w:p>
                        <w:p w:rsidR="00AD1A0C" w:rsidRPr="007A60C9" w:rsidRDefault="00AD1A0C" w:rsidP="00AD1A0C">
                          <w:pPr>
                            <w:pStyle w:val="Piedepgina"/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</w:rPr>
                          </w:pP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  <w:t>1000 Brussels - Belgium</w:t>
                          </w: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r w:rsidRPr="007A60C9">
                            <w:rPr>
                              <w:rFonts w:ascii="Arial" w:hAnsi="Arial"/>
                              <w:b/>
                              <w:color w:val="007AB7"/>
                              <w:sz w:val="20"/>
                            </w:rPr>
                            <w:t>fax</w:t>
                          </w: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 xml:space="preserve"> +32 2 282 46 09</w:t>
                          </w: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hyperlink r:id="rId2" w:history="1">
                            <w:r w:rsidRPr="00AA08FE">
                              <w:rPr>
                                <w:rStyle w:val="Hipervnculo"/>
                                <w:rFonts w:ascii="Arial" w:hAnsi="Arial"/>
                                <w:sz w:val="20"/>
                              </w:rPr>
                              <w:t>www.edf-feph.org</w:t>
                            </w:r>
                          </w:hyperlink>
                          <w:r w:rsidR="0055427C">
                            <w:rPr>
                              <w:rStyle w:val="Hipervnculo"/>
                              <w:rFonts w:ascii="Arial" w:hAnsi="Arial"/>
                              <w:color w:val="auto"/>
                              <w:sz w:val="20"/>
                            </w:rPr>
                            <w:t xml:space="preserve"> </w:t>
                          </w:r>
                        </w:p>
                        <w:p w:rsidR="00AD1A0C" w:rsidRDefault="00AD1A0C" w:rsidP="00AD1A0C">
                          <w:pPr>
                            <w:tabs>
                              <w:tab w:val="left" w:pos="1440"/>
                              <w:tab w:val="left" w:pos="2160"/>
                              <w:tab w:val="left" w:pos="3960"/>
                              <w:tab w:val="center" w:pos="5310"/>
                              <w:tab w:val="left" w:pos="675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7.7pt;margin-top:2.95pt;width:540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" filled="f" stroked="f">
              <v:textbox>
                <w:txbxContent>
                  <w:p w:rsidR="00AD1A0C" w:rsidRPr="007A60C9" w:rsidRDefault="00AD1A0C" w:rsidP="003C04D4">
                    <w:pPr>
                      <w:pStyle w:val="Piedepgina"/>
                      <w:pBdr>
                        <w:left w:val="single" w:sz="2" w:space="31" w:color="000000"/>
                      </w:pBdr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ind w:left="-787"/>
                      <w:rPr>
                        <w:rFonts w:ascii="Arial" w:hAnsi="Arial"/>
                        <w:sz w:val="20"/>
                      </w:rPr>
                    </w:pPr>
                    <w:r w:rsidRPr="007A60C9">
                      <w:rPr>
                        <w:rFonts w:ascii="Arial" w:hAnsi="Arial"/>
                        <w:sz w:val="20"/>
                      </w:rPr>
                      <w:tab/>
                      <w:t xml:space="preserve">35 square de </w:t>
                    </w:r>
                    <w:proofErr w:type="spellStart"/>
                    <w:r w:rsidRPr="007A60C9">
                      <w:rPr>
                        <w:rFonts w:ascii="Arial" w:hAnsi="Arial"/>
                        <w:sz w:val="20"/>
                      </w:rPr>
                      <w:t>Meeûs</w:t>
                    </w:r>
                    <w:proofErr w:type="spellEnd"/>
                    <w:r w:rsidRPr="007A60C9">
                      <w:rPr>
                        <w:rFonts w:ascii="Arial" w:hAnsi="Arial"/>
                        <w:sz w:val="20"/>
                      </w:rPr>
                      <w:tab/>
                    </w:r>
                    <w:proofErr w:type="spellStart"/>
                    <w:r w:rsidRPr="007A60C9">
                      <w:rPr>
                        <w:rFonts w:ascii="Arial" w:hAnsi="Arial"/>
                        <w:b/>
                        <w:color w:val="007AB7"/>
                        <w:sz w:val="20"/>
                      </w:rPr>
                      <w:t>tel</w:t>
                    </w:r>
                    <w:proofErr w:type="spellEnd"/>
                    <w:r w:rsidRPr="007A60C9">
                      <w:rPr>
                        <w:rFonts w:ascii="Arial" w:hAnsi="Arial"/>
                        <w:sz w:val="20"/>
                      </w:rPr>
                      <w:t xml:space="preserve"> +32 2 282 46 00</w:t>
                    </w:r>
                    <w:r w:rsidRPr="007A60C9">
                      <w:rPr>
                        <w:rFonts w:ascii="Arial" w:hAnsi="Arial"/>
                        <w:sz w:val="20"/>
                      </w:rPr>
                      <w:tab/>
                    </w:r>
                    <w:hyperlink r:id="rId3" w:history="1">
                      <w:r w:rsidR="00E13211" w:rsidRPr="00771CDB">
                        <w:rPr>
                          <w:rStyle w:val="Hipervnculo"/>
                          <w:rFonts w:ascii="Arial" w:hAnsi="Arial"/>
                          <w:sz w:val="20"/>
                        </w:rPr>
                        <w:t>info@edf-feph.org</w:t>
                      </w:r>
                    </w:hyperlink>
                  </w:p>
                  <w:p w:rsidR="00AD1A0C" w:rsidRPr="007A60C9" w:rsidRDefault="00AD1A0C" w:rsidP="00AD1A0C">
                    <w:pPr>
                      <w:pStyle w:val="Piedepgina"/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rPr>
                        <w:rFonts w:ascii="Arial" w:hAnsi="Arial"/>
                        <w:b/>
                        <w:color w:val="FF0000"/>
                        <w:sz w:val="20"/>
                      </w:rPr>
                    </w:pPr>
                    <w:r w:rsidRPr="007A60C9">
                      <w:rPr>
                        <w:rFonts w:ascii="Arial" w:hAnsi="Arial"/>
                        <w:sz w:val="20"/>
                      </w:rPr>
                      <w:tab/>
                      <w:t>1000 Brussels - Belgium</w:t>
                    </w:r>
                    <w:r w:rsidRPr="007A60C9">
                      <w:rPr>
                        <w:rFonts w:ascii="Arial" w:hAnsi="Arial"/>
                        <w:sz w:val="20"/>
                      </w:rPr>
                      <w:tab/>
                    </w:r>
                    <w:r w:rsidRPr="007A60C9">
                      <w:rPr>
                        <w:rFonts w:ascii="Arial" w:hAnsi="Arial"/>
                        <w:b/>
                        <w:color w:val="007AB7"/>
                        <w:sz w:val="20"/>
                      </w:rPr>
                      <w:t>fax</w:t>
                    </w:r>
                    <w:r w:rsidRPr="007A60C9">
                      <w:rPr>
                        <w:rFonts w:ascii="Arial" w:hAnsi="Arial"/>
                        <w:sz w:val="20"/>
                      </w:rPr>
                      <w:t xml:space="preserve"> +32 2 282 46 09</w:t>
                    </w:r>
                    <w:r w:rsidRPr="007A60C9">
                      <w:rPr>
                        <w:rFonts w:ascii="Arial" w:hAnsi="Arial"/>
                        <w:sz w:val="20"/>
                      </w:rPr>
                      <w:tab/>
                    </w:r>
                    <w:hyperlink r:id="rId4" w:history="1">
                      <w:r w:rsidRPr="00AA08FE">
                        <w:rPr>
                          <w:rStyle w:val="Hipervnculo"/>
                          <w:rFonts w:ascii="Arial" w:hAnsi="Arial"/>
                          <w:sz w:val="20"/>
                        </w:rPr>
                        <w:t>www.edf-feph.org</w:t>
                      </w:r>
                    </w:hyperlink>
                    <w:r w:rsidR="0055427C">
                      <w:rPr>
                        <w:rStyle w:val="Hipervnculo"/>
                        <w:rFonts w:ascii="Arial" w:hAnsi="Arial"/>
                        <w:color w:val="auto"/>
                        <w:sz w:val="20"/>
                      </w:rPr>
                      <w:t xml:space="preserve"> </w:t>
                    </w:r>
                  </w:p>
                  <w:p w:rsidR="00AD1A0C" w:rsidRDefault="00AD1A0C" w:rsidP="00AD1A0C">
                    <w:pPr>
                      <w:tabs>
                        <w:tab w:val="left" w:pos="1440"/>
                        <w:tab w:val="left" w:pos="2160"/>
                        <w:tab w:val="left" w:pos="3960"/>
                        <w:tab w:val="center" w:pos="5310"/>
                        <w:tab w:val="left" w:pos="675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AD1A0C" w:rsidRDefault="00AD1A0C">
    <w:pPr>
      <w:pStyle w:val="Piedepgina"/>
      <w:jc w:val="center"/>
    </w:pPr>
  </w:p>
  <w:p w:rsidR="00AD1A0C" w:rsidRDefault="00AD1A0C">
    <w:pPr>
      <w:pStyle w:val="Piedepgina"/>
      <w:jc w:val="center"/>
    </w:pPr>
  </w:p>
  <w:p w:rsidR="00AD1A0C" w:rsidRPr="006E0149" w:rsidRDefault="004B20E5">
    <w:pPr>
      <w:pStyle w:val="Piedepgina"/>
      <w:jc w:val="center"/>
      <w:rPr>
        <w:rFonts w:ascii="Arial" w:hAnsi="Arial" w:cs="Arial"/>
      </w:rPr>
    </w:pPr>
    <w:r w:rsidRPr="006E0149">
      <w:rPr>
        <w:rFonts w:ascii="Arial" w:hAnsi="Arial" w:cs="Arial"/>
      </w:rPr>
      <w:fldChar w:fldCharType="begin"/>
    </w:r>
    <w:r w:rsidR="00AD1A0C" w:rsidRPr="006E0149">
      <w:rPr>
        <w:rFonts w:ascii="Arial" w:hAnsi="Arial" w:cs="Arial"/>
      </w:rPr>
      <w:instrText xml:space="preserve"> PAGE   \* MERGEFORMAT </w:instrText>
    </w:r>
    <w:r w:rsidRPr="006E0149">
      <w:rPr>
        <w:rFonts w:ascii="Arial" w:hAnsi="Arial" w:cs="Arial"/>
      </w:rPr>
      <w:fldChar w:fldCharType="separate"/>
    </w:r>
    <w:r w:rsidR="00981F66">
      <w:rPr>
        <w:rFonts w:ascii="Arial" w:hAnsi="Arial" w:cs="Arial"/>
        <w:noProof/>
      </w:rPr>
      <w:t>1</w:t>
    </w:r>
    <w:r w:rsidRPr="006E0149">
      <w:rPr>
        <w:rFonts w:ascii="Arial" w:hAnsi="Arial" w:cs="Arial"/>
        <w:noProof/>
      </w:rPr>
      <w:fldChar w:fldCharType="end"/>
    </w:r>
  </w:p>
  <w:p w:rsidR="00AD1A0C" w:rsidRDefault="00AD1A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4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EBF" w:rsidRDefault="004B20E5">
        <w:pPr>
          <w:pStyle w:val="Piedepgina"/>
          <w:jc w:val="center"/>
        </w:pPr>
        <w:r w:rsidRPr="001B3EBF">
          <w:rPr>
            <w:rFonts w:ascii="Arial" w:hAnsi="Arial" w:cs="Arial"/>
          </w:rPr>
          <w:fldChar w:fldCharType="begin"/>
        </w:r>
        <w:r w:rsidR="001B3EBF" w:rsidRPr="001B3EBF">
          <w:rPr>
            <w:rFonts w:ascii="Arial" w:hAnsi="Arial" w:cs="Arial"/>
          </w:rPr>
          <w:instrText xml:space="preserve"> PAGE   \* MERGEFORMAT </w:instrText>
        </w:r>
        <w:r w:rsidRPr="001B3EBF">
          <w:rPr>
            <w:rFonts w:ascii="Arial" w:hAnsi="Arial" w:cs="Arial"/>
          </w:rPr>
          <w:fldChar w:fldCharType="separate"/>
        </w:r>
        <w:r w:rsidR="001B3EBF">
          <w:rPr>
            <w:rFonts w:ascii="Arial" w:hAnsi="Arial" w:cs="Arial"/>
            <w:noProof/>
          </w:rPr>
          <w:t>1</w:t>
        </w:r>
        <w:r w:rsidRPr="001B3EBF">
          <w:rPr>
            <w:rFonts w:ascii="Arial" w:hAnsi="Arial" w:cs="Arial"/>
            <w:noProof/>
          </w:rPr>
          <w:fldChar w:fldCharType="end"/>
        </w:r>
      </w:p>
    </w:sdtContent>
  </w:sdt>
  <w:p w:rsidR="00BE026F" w:rsidRDefault="00BE0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00" w:rsidRDefault="00107500" w:rsidP="00713123">
      <w:r>
        <w:separator/>
      </w:r>
    </w:p>
  </w:footnote>
  <w:footnote w:type="continuationSeparator" w:id="0">
    <w:p w:rsidR="00107500" w:rsidRDefault="00107500" w:rsidP="00713123">
      <w:r>
        <w:continuationSeparator/>
      </w:r>
    </w:p>
  </w:footnote>
  <w:footnote w:type="continuationNotice" w:id="1">
    <w:p w:rsidR="00107500" w:rsidRDefault="001075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3" w:rsidRDefault="00981F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091595" o:spid="_x0000_s2053" type="#_x0000_t136" style="position:absolute;margin-left:0;margin-top:0;width:502.1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3" w:rsidRDefault="00981F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091596" o:spid="_x0000_s2054" type="#_x0000_t136" style="position:absolute;margin-left:0;margin-top:0;width:502.1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3" w:rsidRDefault="00981F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091594" o:spid="_x0000_s2052" type="#_x0000_t136" style="position:absolute;margin-left:0;margin-top:0;width:502.1pt;height:20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472"/>
    <w:multiLevelType w:val="hybridMultilevel"/>
    <w:tmpl w:val="12E2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2AE8"/>
    <w:multiLevelType w:val="hybridMultilevel"/>
    <w:tmpl w:val="68CCF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31AE"/>
    <w:multiLevelType w:val="hybridMultilevel"/>
    <w:tmpl w:val="9FF29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0E9E"/>
    <w:multiLevelType w:val="hybridMultilevel"/>
    <w:tmpl w:val="DEF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2A24"/>
    <w:multiLevelType w:val="hybridMultilevel"/>
    <w:tmpl w:val="381033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12501"/>
    <w:multiLevelType w:val="hybridMultilevel"/>
    <w:tmpl w:val="FA48364C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11"/>
    <w:rsid w:val="0000376A"/>
    <w:rsid w:val="00011F89"/>
    <w:rsid w:val="00016248"/>
    <w:rsid w:val="00024888"/>
    <w:rsid w:val="00024E66"/>
    <w:rsid w:val="00027A69"/>
    <w:rsid w:val="00030AB7"/>
    <w:rsid w:val="000449D9"/>
    <w:rsid w:val="000468C8"/>
    <w:rsid w:val="00046EF6"/>
    <w:rsid w:val="000703C2"/>
    <w:rsid w:val="00071B60"/>
    <w:rsid w:val="00077F61"/>
    <w:rsid w:val="0008399D"/>
    <w:rsid w:val="000904BC"/>
    <w:rsid w:val="00097DF0"/>
    <w:rsid w:val="000A2A45"/>
    <w:rsid w:val="000A406E"/>
    <w:rsid w:val="000A43CD"/>
    <w:rsid w:val="000B7079"/>
    <w:rsid w:val="000C0E1A"/>
    <w:rsid w:val="000C45E7"/>
    <w:rsid w:val="000D7A7A"/>
    <w:rsid w:val="000E71F1"/>
    <w:rsid w:val="000F4AB9"/>
    <w:rsid w:val="00107500"/>
    <w:rsid w:val="00114151"/>
    <w:rsid w:val="00117F21"/>
    <w:rsid w:val="0012516D"/>
    <w:rsid w:val="001279C5"/>
    <w:rsid w:val="001336BF"/>
    <w:rsid w:val="00133BAE"/>
    <w:rsid w:val="001413DC"/>
    <w:rsid w:val="001427D0"/>
    <w:rsid w:val="00147ABA"/>
    <w:rsid w:val="001527F3"/>
    <w:rsid w:val="00162B87"/>
    <w:rsid w:val="00172FD5"/>
    <w:rsid w:val="001743F6"/>
    <w:rsid w:val="00183F51"/>
    <w:rsid w:val="00191413"/>
    <w:rsid w:val="001A661F"/>
    <w:rsid w:val="001B3EBF"/>
    <w:rsid w:val="001C2229"/>
    <w:rsid w:val="001C43AD"/>
    <w:rsid w:val="001D3EA2"/>
    <w:rsid w:val="001E02FA"/>
    <w:rsid w:val="001E0CF8"/>
    <w:rsid w:val="001E4079"/>
    <w:rsid w:val="001F21B2"/>
    <w:rsid w:val="001F241A"/>
    <w:rsid w:val="00204084"/>
    <w:rsid w:val="00210982"/>
    <w:rsid w:val="00212F67"/>
    <w:rsid w:val="002176EA"/>
    <w:rsid w:val="0022169C"/>
    <w:rsid w:val="00221B1E"/>
    <w:rsid w:val="00222B10"/>
    <w:rsid w:val="0022322A"/>
    <w:rsid w:val="0022539E"/>
    <w:rsid w:val="002451C7"/>
    <w:rsid w:val="002469BE"/>
    <w:rsid w:val="00252E81"/>
    <w:rsid w:val="002872CA"/>
    <w:rsid w:val="00287819"/>
    <w:rsid w:val="00291F95"/>
    <w:rsid w:val="002A6F34"/>
    <w:rsid w:val="002C0635"/>
    <w:rsid w:val="002C1562"/>
    <w:rsid w:val="003015B5"/>
    <w:rsid w:val="00313D8F"/>
    <w:rsid w:val="00320ACB"/>
    <w:rsid w:val="003267E9"/>
    <w:rsid w:val="00342FDE"/>
    <w:rsid w:val="0035514D"/>
    <w:rsid w:val="003573BD"/>
    <w:rsid w:val="003652B0"/>
    <w:rsid w:val="003702E9"/>
    <w:rsid w:val="00372578"/>
    <w:rsid w:val="00375A00"/>
    <w:rsid w:val="003823FE"/>
    <w:rsid w:val="0038443A"/>
    <w:rsid w:val="003C04D4"/>
    <w:rsid w:val="003F158C"/>
    <w:rsid w:val="003F775A"/>
    <w:rsid w:val="00400EB6"/>
    <w:rsid w:val="00405F3D"/>
    <w:rsid w:val="0041031B"/>
    <w:rsid w:val="004150C9"/>
    <w:rsid w:val="00417C41"/>
    <w:rsid w:val="00442412"/>
    <w:rsid w:val="004439D1"/>
    <w:rsid w:val="00453587"/>
    <w:rsid w:val="00453EFF"/>
    <w:rsid w:val="00462109"/>
    <w:rsid w:val="004643FF"/>
    <w:rsid w:val="0048107F"/>
    <w:rsid w:val="00494E15"/>
    <w:rsid w:val="00496973"/>
    <w:rsid w:val="004A7586"/>
    <w:rsid w:val="004B20E5"/>
    <w:rsid w:val="004D17BC"/>
    <w:rsid w:val="004D1A01"/>
    <w:rsid w:val="004D571B"/>
    <w:rsid w:val="004E43A6"/>
    <w:rsid w:val="004E545A"/>
    <w:rsid w:val="004F713A"/>
    <w:rsid w:val="005003FD"/>
    <w:rsid w:val="0050069C"/>
    <w:rsid w:val="0050076C"/>
    <w:rsid w:val="00505DA1"/>
    <w:rsid w:val="00517718"/>
    <w:rsid w:val="00525103"/>
    <w:rsid w:val="005251C9"/>
    <w:rsid w:val="005314A2"/>
    <w:rsid w:val="00546C7B"/>
    <w:rsid w:val="005529B1"/>
    <w:rsid w:val="0055427C"/>
    <w:rsid w:val="00555598"/>
    <w:rsid w:val="00561B12"/>
    <w:rsid w:val="005727E5"/>
    <w:rsid w:val="00576C53"/>
    <w:rsid w:val="00580249"/>
    <w:rsid w:val="00586E60"/>
    <w:rsid w:val="00593E79"/>
    <w:rsid w:val="00596121"/>
    <w:rsid w:val="00597AD6"/>
    <w:rsid w:val="005B466D"/>
    <w:rsid w:val="005B5014"/>
    <w:rsid w:val="005B7CBF"/>
    <w:rsid w:val="005C07A2"/>
    <w:rsid w:val="005C3744"/>
    <w:rsid w:val="005C5AAF"/>
    <w:rsid w:val="005C5D65"/>
    <w:rsid w:val="005D44B8"/>
    <w:rsid w:val="005E1488"/>
    <w:rsid w:val="005E1D4B"/>
    <w:rsid w:val="005E325E"/>
    <w:rsid w:val="005F62F4"/>
    <w:rsid w:val="00603F95"/>
    <w:rsid w:val="006055B8"/>
    <w:rsid w:val="00605908"/>
    <w:rsid w:val="00614254"/>
    <w:rsid w:val="006155C4"/>
    <w:rsid w:val="00621305"/>
    <w:rsid w:val="006224C2"/>
    <w:rsid w:val="00622699"/>
    <w:rsid w:val="0065702A"/>
    <w:rsid w:val="00663EF7"/>
    <w:rsid w:val="00673C82"/>
    <w:rsid w:val="0067572F"/>
    <w:rsid w:val="0068542D"/>
    <w:rsid w:val="0068783D"/>
    <w:rsid w:val="006902BC"/>
    <w:rsid w:val="006A1F03"/>
    <w:rsid w:val="006A5D49"/>
    <w:rsid w:val="006B2953"/>
    <w:rsid w:val="006C527A"/>
    <w:rsid w:val="006C7FF9"/>
    <w:rsid w:val="006E0149"/>
    <w:rsid w:val="006E5153"/>
    <w:rsid w:val="006F7334"/>
    <w:rsid w:val="00700268"/>
    <w:rsid w:val="00700C29"/>
    <w:rsid w:val="007071B2"/>
    <w:rsid w:val="00711F74"/>
    <w:rsid w:val="00713123"/>
    <w:rsid w:val="007131A2"/>
    <w:rsid w:val="00722E65"/>
    <w:rsid w:val="00735459"/>
    <w:rsid w:val="00737DDB"/>
    <w:rsid w:val="00744C46"/>
    <w:rsid w:val="00750D12"/>
    <w:rsid w:val="007529BE"/>
    <w:rsid w:val="0079041F"/>
    <w:rsid w:val="007A2CF3"/>
    <w:rsid w:val="007B01A9"/>
    <w:rsid w:val="007D0A98"/>
    <w:rsid w:val="007D4C09"/>
    <w:rsid w:val="007E3BB5"/>
    <w:rsid w:val="00801753"/>
    <w:rsid w:val="0080723B"/>
    <w:rsid w:val="008367C0"/>
    <w:rsid w:val="00847FD3"/>
    <w:rsid w:val="00850788"/>
    <w:rsid w:val="0085561F"/>
    <w:rsid w:val="0086065A"/>
    <w:rsid w:val="00872C49"/>
    <w:rsid w:val="00883D21"/>
    <w:rsid w:val="0088561E"/>
    <w:rsid w:val="00887636"/>
    <w:rsid w:val="008E1F16"/>
    <w:rsid w:val="008F7F6D"/>
    <w:rsid w:val="0090238A"/>
    <w:rsid w:val="00906DAC"/>
    <w:rsid w:val="00910BF8"/>
    <w:rsid w:val="009139E6"/>
    <w:rsid w:val="009204B9"/>
    <w:rsid w:val="00923DCC"/>
    <w:rsid w:val="009251BA"/>
    <w:rsid w:val="00925C53"/>
    <w:rsid w:val="00926031"/>
    <w:rsid w:val="00933747"/>
    <w:rsid w:val="0093622D"/>
    <w:rsid w:val="0094184F"/>
    <w:rsid w:val="00941A11"/>
    <w:rsid w:val="009518F1"/>
    <w:rsid w:val="00952CB5"/>
    <w:rsid w:val="009547BF"/>
    <w:rsid w:val="009624E4"/>
    <w:rsid w:val="00981F66"/>
    <w:rsid w:val="00985612"/>
    <w:rsid w:val="00986151"/>
    <w:rsid w:val="009A0CEE"/>
    <w:rsid w:val="009A1B94"/>
    <w:rsid w:val="009B151F"/>
    <w:rsid w:val="009B5EAC"/>
    <w:rsid w:val="009D4E33"/>
    <w:rsid w:val="009D7189"/>
    <w:rsid w:val="009D7499"/>
    <w:rsid w:val="009E27D3"/>
    <w:rsid w:val="009E301D"/>
    <w:rsid w:val="009E4E85"/>
    <w:rsid w:val="009F1153"/>
    <w:rsid w:val="00A021CF"/>
    <w:rsid w:val="00A04A59"/>
    <w:rsid w:val="00A35347"/>
    <w:rsid w:val="00A55A79"/>
    <w:rsid w:val="00A64E83"/>
    <w:rsid w:val="00A8378B"/>
    <w:rsid w:val="00A90AAD"/>
    <w:rsid w:val="00A9452E"/>
    <w:rsid w:val="00AA08FE"/>
    <w:rsid w:val="00AA7B51"/>
    <w:rsid w:val="00AB745F"/>
    <w:rsid w:val="00AD0811"/>
    <w:rsid w:val="00AD1A0C"/>
    <w:rsid w:val="00AF38EC"/>
    <w:rsid w:val="00AF664F"/>
    <w:rsid w:val="00B0224D"/>
    <w:rsid w:val="00B0497F"/>
    <w:rsid w:val="00B0618C"/>
    <w:rsid w:val="00B13032"/>
    <w:rsid w:val="00B3448E"/>
    <w:rsid w:val="00B4624B"/>
    <w:rsid w:val="00B465B0"/>
    <w:rsid w:val="00B566B1"/>
    <w:rsid w:val="00B64F6E"/>
    <w:rsid w:val="00B829B4"/>
    <w:rsid w:val="00B909D6"/>
    <w:rsid w:val="00B936EA"/>
    <w:rsid w:val="00B96672"/>
    <w:rsid w:val="00B96DC6"/>
    <w:rsid w:val="00BA1ED6"/>
    <w:rsid w:val="00BB04EE"/>
    <w:rsid w:val="00BC566D"/>
    <w:rsid w:val="00BD2BA2"/>
    <w:rsid w:val="00BD763C"/>
    <w:rsid w:val="00BE0055"/>
    <w:rsid w:val="00BE026F"/>
    <w:rsid w:val="00BE72C7"/>
    <w:rsid w:val="00BF144E"/>
    <w:rsid w:val="00C0787B"/>
    <w:rsid w:val="00C33C81"/>
    <w:rsid w:val="00C34207"/>
    <w:rsid w:val="00C46874"/>
    <w:rsid w:val="00C5225C"/>
    <w:rsid w:val="00C56219"/>
    <w:rsid w:val="00C6543A"/>
    <w:rsid w:val="00C66002"/>
    <w:rsid w:val="00C80165"/>
    <w:rsid w:val="00C8247D"/>
    <w:rsid w:val="00C92ABF"/>
    <w:rsid w:val="00CA4DC8"/>
    <w:rsid w:val="00CA6B35"/>
    <w:rsid w:val="00CC7085"/>
    <w:rsid w:val="00CC7C8B"/>
    <w:rsid w:val="00CD3B73"/>
    <w:rsid w:val="00CD7A9F"/>
    <w:rsid w:val="00CE0C42"/>
    <w:rsid w:val="00CE3C0A"/>
    <w:rsid w:val="00CF1EF8"/>
    <w:rsid w:val="00CF3059"/>
    <w:rsid w:val="00D0085A"/>
    <w:rsid w:val="00D00BB4"/>
    <w:rsid w:val="00D06CF7"/>
    <w:rsid w:val="00D120F2"/>
    <w:rsid w:val="00D122C9"/>
    <w:rsid w:val="00D324B8"/>
    <w:rsid w:val="00D36E11"/>
    <w:rsid w:val="00D449BD"/>
    <w:rsid w:val="00D55EB5"/>
    <w:rsid w:val="00D71308"/>
    <w:rsid w:val="00D76DDD"/>
    <w:rsid w:val="00D87185"/>
    <w:rsid w:val="00DA1B69"/>
    <w:rsid w:val="00DB125A"/>
    <w:rsid w:val="00DB36BD"/>
    <w:rsid w:val="00DB4533"/>
    <w:rsid w:val="00DB6F08"/>
    <w:rsid w:val="00DC03F1"/>
    <w:rsid w:val="00DE4025"/>
    <w:rsid w:val="00DF78E4"/>
    <w:rsid w:val="00E04CFE"/>
    <w:rsid w:val="00E13211"/>
    <w:rsid w:val="00E17397"/>
    <w:rsid w:val="00E22099"/>
    <w:rsid w:val="00E27256"/>
    <w:rsid w:val="00E3534B"/>
    <w:rsid w:val="00E35B67"/>
    <w:rsid w:val="00E43A53"/>
    <w:rsid w:val="00E555E1"/>
    <w:rsid w:val="00E761E5"/>
    <w:rsid w:val="00E80CB1"/>
    <w:rsid w:val="00E812F0"/>
    <w:rsid w:val="00E85380"/>
    <w:rsid w:val="00E9763D"/>
    <w:rsid w:val="00EA001D"/>
    <w:rsid w:val="00EA2B70"/>
    <w:rsid w:val="00EA42D6"/>
    <w:rsid w:val="00EB4C57"/>
    <w:rsid w:val="00ED74CA"/>
    <w:rsid w:val="00EF2242"/>
    <w:rsid w:val="00F2383A"/>
    <w:rsid w:val="00F30204"/>
    <w:rsid w:val="00F32ADE"/>
    <w:rsid w:val="00F407C2"/>
    <w:rsid w:val="00F46FB5"/>
    <w:rsid w:val="00F5677C"/>
    <w:rsid w:val="00F57824"/>
    <w:rsid w:val="00F811F0"/>
    <w:rsid w:val="00FA18A2"/>
    <w:rsid w:val="00FA190D"/>
    <w:rsid w:val="00FA1E44"/>
    <w:rsid w:val="00FA4C1B"/>
    <w:rsid w:val="00FB1575"/>
    <w:rsid w:val="00FB26AA"/>
    <w:rsid w:val="00FB363B"/>
    <w:rsid w:val="00FB4D86"/>
    <w:rsid w:val="00FD136C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FD"/>
    <w:rPr>
      <w:sz w:val="24"/>
      <w:szCs w:val="24"/>
      <w:lang w:val="en-GB"/>
    </w:rPr>
  </w:style>
  <w:style w:type="paragraph" w:styleId="Ttulo5">
    <w:name w:val="heading 5"/>
    <w:basedOn w:val="Normal"/>
    <w:next w:val="Normal"/>
    <w:qFormat/>
    <w:rsid w:val="004643FF"/>
    <w:pPr>
      <w:keepNext/>
      <w:outlineLvl w:val="4"/>
    </w:pPr>
    <w:rPr>
      <w:rFonts w:ascii="Arial" w:hAnsi="Arial"/>
      <w:b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5402"/>
    <w:rPr>
      <w:color w:val="0000FF"/>
      <w:u w:val="single"/>
    </w:rPr>
  </w:style>
  <w:style w:type="paragraph" w:customStyle="1" w:styleId="txt1">
    <w:name w:val="txt1"/>
    <w:basedOn w:val="Normal"/>
    <w:rsid w:val="0021540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Hipervnculovisitado">
    <w:name w:val="FollowedHyperlink"/>
    <w:rsid w:val="00215402"/>
    <w:rPr>
      <w:color w:val="800080"/>
      <w:u w:val="single"/>
    </w:rPr>
  </w:style>
  <w:style w:type="paragraph" w:styleId="Textodeglobo">
    <w:name w:val="Balloon Text"/>
    <w:basedOn w:val="Normal"/>
    <w:semiHidden/>
    <w:rsid w:val="00215402"/>
    <w:rPr>
      <w:rFonts w:ascii="Lucida Grande" w:hAnsi="Lucida Grande"/>
      <w:sz w:val="18"/>
      <w:szCs w:val="18"/>
    </w:rPr>
  </w:style>
  <w:style w:type="character" w:styleId="nfasis">
    <w:name w:val="Emphasis"/>
    <w:qFormat/>
    <w:rsid w:val="00F57824"/>
    <w:rPr>
      <w:i/>
      <w:iCs/>
    </w:rPr>
  </w:style>
  <w:style w:type="character" w:customStyle="1" w:styleId="apple-style-span">
    <w:name w:val="apple-style-span"/>
    <w:basedOn w:val="Fuentedeprrafopredeter"/>
    <w:rsid w:val="00F57824"/>
  </w:style>
  <w:style w:type="paragraph" w:styleId="Encabezado">
    <w:name w:val="header"/>
    <w:basedOn w:val="Normal"/>
    <w:link w:val="Encabezado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71312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713123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A0CEE"/>
    <w:rPr>
      <w:lang w:val="en-GB" w:eastAsia="fr-FR"/>
    </w:rPr>
  </w:style>
  <w:style w:type="character" w:customStyle="1" w:styleId="st">
    <w:name w:val="st"/>
    <w:rsid w:val="00C6543A"/>
  </w:style>
  <w:style w:type="character" w:styleId="Refdecomentario">
    <w:name w:val="annotation reference"/>
    <w:uiPriority w:val="99"/>
    <w:semiHidden/>
    <w:unhideWhenUsed/>
    <w:rsid w:val="00326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E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E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3267E9"/>
    <w:rPr>
      <w:b/>
      <w:bCs/>
    </w:rPr>
  </w:style>
  <w:style w:type="paragraph" w:styleId="Prrafodelista">
    <w:name w:val="List Paragraph"/>
    <w:basedOn w:val="Normal"/>
    <w:uiPriority w:val="34"/>
    <w:qFormat/>
    <w:rsid w:val="000A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FD"/>
    <w:rPr>
      <w:sz w:val="24"/>
      <w:szCs w:val="24"/>
      <w:lang w:val="en-GB"/>
    </w:rPr>
  </w:style>
  <w:style w:type="paragraph" w:styleId="Ttulo5">
    <w:name w:val="heading 5"/>
    <w:basedOn w:val="Normal"/>
    <w:next w:val="Normal"/>
    <w:qFormat/>
    <w:rsid w:val="004643FF"/>
    <w:pPr>
      <w:keepNext/>
      <w:outlineLvl w:val="4"/>
    </w:pPr>
    <w:rPr>
      <w:rFonts w:ascii="Arial" w:hAnsi="Arial"/>
      <w:b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5402"/>
    <w:rPr>
      <w:color w:val="0000FF"/>
      <w:u w:val="single"/>
    </w:rPr>
  </w:style>
  <w:style w:type="paragraph" w:customStyle="1" w:styleId="txt1">
    <w:name w:val="txt1"/>
    <w:basedOn w:val="Normal"/>
    <w:rsid w:val="0021540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Hipervnculovisitado">
    <w:name w:val="FollowedHyperlink"/>
    <w:rsid w:val="00215402"/>
    <w:rPr>
      <w:color w:val="800080"/>
      <w:u w:val="single"/>
    </w:rPr>
  </w:style>
  <w:style w:type="paragraph" w:styleId="Textodeglobo">
    <w:name w:val="Balloon Text"/>
    <w:basedOn w:val="Normal"/>
    <w:semiHidden/>
    <w:rsid w:val="00215402"/>
    <w:rPr>
      <w:rFonts w:ascii="Lucida Grande" w:hAnsi="Lucida Grande"/>
      <w:sz w:val="18"/>
      <w:szCs w:val="18"/>
    </w:rPr>
  </w:style>
  <w:style w:type="character" w:styleId="nfasis">
    <w:name w:val="Emphasis"/>
    <w:qFormat/>
    <w:rsid w:val="00F57824"/>
    <w:rPr>
      <w:i/>
      <w:iCs/>
    </w:rPr>
  </w:style>
  <w:style w:type="character" w:customStyle="1" w:styleId="apple-style-span">
    <w:name w:val="apple-style-span"/>
    <w:basedOn w:val="Fuentedeprrafopredeter"/>
    <w:rsid w:val="00F57824"/>
  </w:style>
  <w:style w:type="paragraph" w:styleId="Encabezado">
    <w:name w:val="header"/>
    <w:basedOn w:val="Normal"/>
    <w:link w:val="Encabezado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71312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713123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A0CEE"/>
    <w:rPr>
      <w:lang w:val="en-GB" w:eastAsia="fr-FR"/>
    </w:rPr>
  </w:style>
  <w:style w:type="character" w:customStyle="1" w:styleId="st">
    <w:name w:val="st"/>
    <w:rsid w:val="00C6543A"/>
  </w:style>
  <w:style w:type="character" w:styleId="Refdecomentario">
    <w:name w:val="annotation reference"/>
    <w:uiPriority w:val="99"/>
    <w:semiHidden/>
    <w:unhideWhenUsed/>
    <w:rsid w:val="00326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E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E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3267E9"/>
    <w:rPr>
      <w:b/>
      <w:bCs/>
    </w:rPr>
  </w:style>
  <w:style w:type="paragraph" w:styleId="Prrafodelista">
    <w:name w:val="List Paragraph"/>
    <w:basedOn w:val="Normal"/>
    <w:uiPriority w:val="34"/>
    <w:qFormat/>
    <w:rsid w:val="000A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f-feph.org" TargetMode="External"/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mailto:info@edf-feph.org" TargetMode="External"/><Relationship Id="rId4" Type="http://schemas.openxmlformats.org/officeDocument/2006/relationships/hyperlink" Target="http://www.edf-fep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brary\Templates\Debriefing%20report\DebriefingReport_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6625BA-8D4B-4786-A47B-FC8E51721FA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DAD29C-6D2B-4228-B84B-B78BC21B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623A4-68C1-49E2-A228-502889CF3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A2CAF0-8362-494E-8096-7814C396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DebriefingReport_Template_NEW</Template>
  <TotalTime>1</TotalTime>
  <Pages>3</Pages>
  <Words>1192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EDF Resolution of the Board on the European Accessibility Act</vt:lpstr>
      <vt:lpstr>EDF Resolution of the Board on the European Accessibility Act</vt:lpstr>
    </vt:vector>
  </TitlesOfParts>
  <Company>HP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Resolution of the Board on the European Accessibility Act</dc:title>
  <dc:creator>Marie Denninghaus</dc:creator>
  <cp:lastModifiedBy>Abella Jover, Blanca (Servimedia.net)</cp:lastModifiedBy>
  <cp:revision>2</cp:revision>
  <cp:lastPrinted>2017-05-17T12:08:00Z</cp:lastPrinted>
  <dcterms:created xsi:type="dcterms:W3CDTF">2017-05-18T12:46:00Z</dcterms:created>
  <dcterms:modified xsi:type="dcterms:W3CDTF">2017-05-18T12:46:00Z</dcterms:modified>
</cp:coreProperties>
</file>