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2C" w:rsidRDefault="009E182C" w:rsidP="009E182C">
      <w:pPr>
        <w:jc w:val="center"/>
        <w:rPr>
          <w:rFonts w:ascii="Times New Roman" w:hAnsi="Times New Roman" w:cs="Times New Roman"/>
          <w:b/>
          <w:szCs w:val="24"/>
        </w:rPr>
      </w:pPr>
      <w:bookmarkStart w:id="0" w:name="_GoBack"/>
      <w:bookmarkEnd w:id="0"/>
      <w:r>
        <w:rPr>
          <w:noProof/>
          <w:color w:val="005697"/>
          <w:sz w:val="43"/>
          <w:szCs w:val="43"/>
          <w:lang w:eastAsia="es-ES"/>
        </w:rPr>
        <w:drawing>
          <wp:inline distT="0" distB="0" distL="0" distR="0" wp14:anchorId="1A5D1166" wp14:editId="18331784">
            <wp:extent cx="1257300" cy="834540"/>
            <wp:effectExtent l="0" t="0" r="0" b="3810"/>
            <wp:docPr id="1" name="img-logo" descr="CERMI. Comité español de representantes de personas con discapacidad. Ir a página de Inicio">
              <a:hlinkClick xmlns:a="http://schemas.openxmlformats.org/drawingml/2006/main" r:id="rId8" tooltip="&quot;CERMI. Comité español de representantes de personas con discapacidad. Ir a página de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 descr="CERMI. Comité español de representantes de personas con discapacidad. Ir a página de Inicio">
                      <a:hlinkClick r:id="rId8" tooltip="&quot;CERMI. Comité español de representantes de personas con discapacidad. Ir a página de Inici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082" cy="839042"/>
                    </a:xfrm>
                    <a:prstGeom prst="rect">
                      <a:avLst/>
                    </a:prstGeom>
                    <a:noFill/>
                    <a:ln>
                      <a:noFill/>
                    </a:ln>
                  </pic:spPr>
                </pic:pic>
              </a:graphicData>
            </a:graphic>
          </wp:inline>
        </w:drawing>
      </w:r>
    </w:p>
    <w:p w:rsidR="0084742E" w:rsidRDefault="003E1817" w:rsidP="003E1817">
      <w:pPr>
        <w:pBdr>
          <w:bottom w:val="single" w:sz="12" w:space="1" w:color="auto"/>
        </w:pBdr>
        <w:jc w:val="both"/>
        <w:rPr>
          <w:rFonts w:ascii="Times New Roman" w:hAnsi="Times New Roman" w:cs="Times New Roman"/>
          <w:b/>
          <w:color w:val="333333"/>
          <w:szCs w:val="24"/>
          <w:shd w:val="clear" w:color="auto" w:fill="FFFFFF"/>
        </w:rPr>
      </w:pPr>
      <w:r w:rsidRPr="003E1817">
        <w:rPr>
          <w:rFonts w:ascii="Times New Roman" w:hAnsi="Times New Roman" w:cs="Times New Roman"/>
          <w:b/>
          <w:szCs w:val="24"/>
        </w:rPr>
        <w:t>COMENTARIO SOBRE LA SENTENCIA DE 18/1/201</w:t>
      </w:r>
      <w:r w:rsidR="009D4AE4">
        <w:rPr>
          <w:rFonts w:ascii="Times New Roman" w:hAnsi="Times New Roman" w:cs="Times New Roman"/>
          <w:b/>
          <w:szCs w:val="24"/>
        </w:rPr>
        <w:t>8</w:t>
      </w:r>
      <w:r w:rsidRPr="003E1817">
        <w:rPr>
          <w:rFonts w:ascii="Times New Roman" w:hAnsi="Times New Roman" w:cs="Times New Roman"/>
          <w:b/>
          <w:szCs w:val="24"/>
        </w:rPr>
        <w:t xml:space="preserve"> DEL TJUE (ASUNTO C-270/16): DISCRIMINACIÓN POR RAZÓN DE DISCAPACIDAD EN EL CASO DE </w:t>
      </w:r>
      <w:r w:rsidRPr="003E1817">
        <w:rPr>
          <w:rFonts w:ascii="Times New Roman" w:hAnsi="Times New Roman" w:cs="Times New Roman"/>
          <w:b/>
          <w:color w:val="333333"/>
          <w:szCs w:val="24"/>
          <w:shd w:val="clear" w:color="auto" w:fill="FFFFFF"/>
        </w:rPr>
        <w:t>DESPIDO DE UN TRABAJADOR POR FALTAS DE ASISTENCIA AL TRABAJO, AUN JUSTIFICADAS PERO INTERMITENTES</w:t>
      </w:r>
    </w:p>
    <w:p w:rsidR="0084742E" w:rsidRPr="009E182C" w:rsidRDefault="0084742E" w:rsidP="003E1817">
      <w:pPr>
        <w:jc w:val="both"/>
        <w:rPr>
          <w:rFonts w:ascii="Times New Roman" w:hAnsi="Times New Roman" w:cs="Times New Roman"/>
          <w:sz w:val="24"/>
          <w:szCs w:val="24"/>
        </w:rPr>
      </w:pPr>
      <w:r w:rsidRPr="009E182C">
        <w:rPr>
          <w:rFonts w:ascii="Times New Roman" w:hAnsi="Times New Roman" w:cs="Times New Roman"/>
          <w:sz w:val="24"/>
          <w:szCs w:val="24"/>
        </w:rPr>
        <w:t xml:space="preserve">La Sentencia resuelve la petición de decisión prejudicial formulada por </w:t>
      </w:r>
      <w:r w:rsidR="003E1817" w:rsidRPr="009E182C">
        <w:rPr>
          <w:rFonts w:ascii="Times New Roman" w:hAnsi="Times New Roman" w:cs="Times New Roman"/>
          <w:sz w:val="24"/>
          <w:szCs w:val="24"/>
        </w:rPr>
        <w:t>un</w:t>
      </w:r>
      <w:r w:rsidRPr="009E182C">
        <w:rPr>
          <w:rFonts w:ascii="Times New Roman" w:hAnsi="Times New Roman" w:cs="Times New Roman"/>
          <w:sz w:val="24"/>
          <w:szCs w:val="24"/>
        </w:rPr>
        <w:t xml:space="preserve"> </w:t>
      </w:r>
      <w:r w:rsidR="000B6913" w:rsidRPr="009E182C">
        <w:rPr>
          <w:rFonts w:ascii="Times New Roman" w:hAnsi="Times New Roman" w:cs="Times New Roman"/>
          <w:sz w:val="24"/>
          <w:szCs w:val="24"/>
        </w:rPr>
        <w:t>Juez</w:t>
      </w:r>
      <w:r w:rsidRPr="009E182C">
        <w:rPr>
          <w:rFonts w:ascii="Times New Roman" w:hAnsi="Times New Roman" w:cs="Times New Roman"/>
          <w:sz w:val="24"/>
          <w:szCs w:val="24"/>
        </w:rPr>
        <w:t xml:space="preserve"> de lo Social </w:t>
      </w:r>
      <w:r w:rsidR="003E1817" w:rsidRPr="009E182C">
        <w:rPr>
          <w:rFonts w:ascii="Times New Roman" w:hAnsi="Times New Roman" w:cs="Times New Roman"/>
          <w:sz w:val="24"/>
          <w:szCs w:val="24"/>
        </w:rPr>
        <w:t>español</w:t>
      </w:r>
      <w:r w:rsidRPr="009E182C">
        <w:rPr>
          <w:rFonts w:ascii="Times New Roman" w:hAnsi="Times New Roman" w:cs="Times New Roman"/>
          <w:sz w:val="24"/>
          <w:szCs w:val="24"/>
        </w:rPr>
        <w:t xml:space="preserve">. </w:t>
      </w:r>
      <w:r w:rsidR="003E1817" w:rsidRPr="009E182C">
        <w:rPr>
          <w:rFonts w:ascii="Times New Roman" w:hAnsi="Times New Roman" w:cs="Times New Roman"/>
          <w:sz w:val="24"/>
          <w:szCs w:val="24"/>
        </w:rPr>
        <w:t>Este preguntó</w:t>
      </w:r>
      <w:r w:rsidRPr="009E182C">
        <w:rPr>
          <w:rFonts w:ascii="Times New Roman" w:hAnsi="Times New Roman" w:cs="Times New Roman"/>
          <w:sz w:val="24"/>
          <w:szCs w:val="24"/>
        </w:rPr>
        <w:t xml:space="preserve"> si la Directiva 2000/78/CE del Consejo, de 27 de noviembre de 2000, relativa al establecimiento de un marco general para la igualdad de trato en el empleo y la ocupación</w:t>
      </w:r>
      <w:r w:rsidR="003E1817" w:rsidRPr="009E182C">
        <w:rPr>
          <w:rFonts w:ascii="Times New Roman" w:hAnsi="Times New Roman" w:cs="Times New Roman"/>
          <w:sz w:val="24"/>
          <w:szCs w:val="24"/>
        </w:rPr>
        <w:t>,</w:t>
      </w:r>
      <w:r w:rsidRPr="009E182C">
        <w:rPr>
          <w:rFonts w:ascii="Times New Roman" w:hAnsi="Times New Roman" w:cs="Times New Roman"/>
          <w:sz w:val="24"/>
          <w:szCs w:val="24"/>
        </w:rPr>
        <w:t xml:space="preserve"> se opone a la normativa española, que permite al empresario despedir a un trabajador debido a las faltas de asistencia de </w:t>
      </w:r>
      <w:r w:rsidR="009D4AE4" w:rsidRPr="009E182C">
        <w:rPr>
          <w:rFonts w:ascii="Times New Roman" w:hAnsi="Times New Roman" w:cs="Times New Roman"/>
          <w:sz w:val="24"/>
          <w:szCs w:val="24"/>
        </w:rPr>
        <w:t>e</w:t>
      </w:r>
      <w:r w:rsidRPr="009E182C">
        <w:rPr>
          <w:rFonts w:ascii="Times New Roman" w:hAnsi="Times New Roman" w:cs="Times New Roman"/>
          <w:sz w:val="24"/>
          <w:szCs w:val="24"/>
        </w:rPr>
        <w:t>ste al trabajo, aun justificadas pero intermitentes</w:t>
      </w:r>
      <w:r w:rsidR="003E1817" w:rsidRPr="009E182C">
        <w:rPr>
          <w:rFonts w:ascii="Times New Roman" w:hAnsi="Times New Roman" w:cs="Times New Roman"/>
          <w:sz w:val="24"/>
          <w:szCs w:val="24"/>
        </w:rPr>
        <w:t xml:space="preserve"> por encima de un umbral</w:t>
      </w:r>
      <w:r w:rsidRPr="009E182C">
        <w:rPr>
          <w:rFonts w:ascii="Times New Roman" w:hAnsi="Times New Roman" w:cs="Times New Roman"/>
          <w:sz w:val="24"/>
          <w:szCs w:val="24"/>
        </w:rPr>
        <w:t>, incluso cuando esas ausencias sean consecuencia de enfermedades atribuibles a la discapacidad de dicho trabajador. Este despido se basa en el artículo 52, letra d) del Estatuto de los Trabajadores.</w:t>
      </w:r>
    </w:p>
    <w:p w:rsidR="009368FE" w:rsidRPr="009E182C" w:rsidRDefault="0084742E" w:rsidP="003E1817">
      <w:pPr>
        <w:jc w:val="both"/>
        <w:rPr>
          <w:rFonts w:ascii="Times New Roman" w:hAnsi="Times New Roman" w:cs="Times New Roman"/>
          <w:sz w:val="24"/>
          <w:szCs w:val="24"/>
        </w:rPr>
      </w:pPr>
      <w:r w:rsidRPr="009E182C">
        <w:rPr>
          <w:rFonts w:ascii="Times New Roman" w:hAnsi="Times New Roman" w:cs="Times New Roman"/>
          <w:sz w:val="24"/>
          <w:szCs w:val="24"/>
        </w:rPr>
        <w:t xml:space="preserve">La respuesta del TJUE es ambigua. Si bien, en principio, considera que la Directiva se opone a dicha normativa, pues supone una discriminación indirecta contra las personas con discapacidad, al mismo tiempo indica que dicha discriminación podría estar justificada si, como sostiene el Gobierno español, realmente persigue la finalidad legítima de combatir el absentismo y no va más allá de lo necesario para alcanzarla, extremo </w:t>
      </w:r>
      <w:r w:rsidR="009368FE" w:rsidRPr="009E182C">
        <w:rPr>
          <w:rFonts w:ascii="Times New Roman" w:hAnsi="Times New Roman" w:cs="Times New Roman"/>
          <w:sz w:val="24"/>
          <w:szCs w:val="24"/>
        </w:rPr>
        <w:t>cuya evaluación el TJUE remite al</w:t>
      </w:r>
      <w:r w:rsidRPr="009E182C">
        <w:rPr>
          <w:rFonts w:ascii="Times New Roman" w:hAnsi="Times New Roman" w:cs="Times New Roman"/>
          <w:sz w:val="24"/>
          <w:szCs w:val="24"/>
        </w:rPr>
        <w:t xml:space="preserve"> juez español</w:t>
      </w:r>
      <w:r w:rsidR="009368FE" w:rsidRPr="009E182C">
        <w:rPr>
          <w:rFonts w:ascii="Times New Roman" w:hAnsi="Times New Roman" w:cs="Times New Roman"/>
          <w:sz w:val="24"/>
          <w:szCs w:val="24"/>
        </w:rPr>
        <w:t>, el cual ahora tendrá que pronunciarse sobre la existencia o no de discriminación.</w:t>
      </w:r>
    </w:p>
    <w:p w:rsidR="009368FE" w:rsidRPr="009E182C" w:rsidRDefault="009368FE" w:rsidP="003E1817">
      <w:pPr>
        <w:jc w:val="both"/>
        <w:rPr>
          <w:rFonts w:ascii="Times New Roman" w:hAnsi="Times New Roman" w:cs="Times New Roman"/>
          <w:sz w:val="24"/>
          <w:szCs w:val="24"/>
        </w:rPr>
      </w:pPr>
      <w:r w:rsidRPr="009E182C">
        <w:rPr>
          <w:rFonts w:ascii="Times New Roman" w:hAnsi="Times New Roman" w:cs="Times New Roman"/>
          <w:sz w:val="24"/>
          <w:szCs w:val="24"/>
        </w:rPr>
        <w:t xml:space="preserve">En este caso, el </w:t>
      </w:r>
      <w:r w:rsidR="0084742E" w:rsidRPr="009E182C">
        <w:rPr>
          <w:rFonts w:ascii="Times New Roman" w:hAnsi="Times New Roman" w:cs="Times New Roman"/>
          <w:sz w:val="24"/>
          <w:szCs w:val="24"/>
        </w:rPr>
        <w:t xml:space="preserve">trabajador, limpiador de un hospital, </w:t>
      </w:r>
      <w:r w:rsidRPr="009E182C">
        <w:rPr>
          <w:rFonts w:ascii="Times New Roman" w:hAnsi="Times New Roman" w:cs="Times New Roman"/>
          <w:sz w:val="24"/>
          <w:szCs w:val="24"/>
        </w:rPr>
        <w:t>tenía</w:t>
      </w:r>
      <w:r w:rsidR="0084742E" w:rsidRPr="009E182C">
        <w:rPr>
          <w:rFonts w:ascii="Times New Roman" w:hAnsi="Times New Roman" w:cs="Times New Roman"/>
          <w:sz w:val="24"/>
          <w:szCs w:val="24"/>
        </w:rPr>
        <w:t xml:space="preserve"> reconoci</w:t>
      </w:r>
      <w:r w:rsidRPr="009E182C">
        <w:rPr>
          <w:rFonts w:ascii="Times New Roman" w:hAnsi="Times New Roman" w:cs="Times New Roman"/>
          <w:sz w:val="24"/>
          <w:szCs w:val="24"/>
        </w:rPr>
        <w:t xml:space="preserve">do </w:t>
      </w:r>
      <w:r w:rsidR="0084742E" w:rsidRPr="009E182C">
        <w:rPr>
          <w:rFonts w:ascii="Times New Roman" w:hAnsi="Times New Roman" w:cs="Times New Roman"/>
          <w:sz w:val="24"/>
          <w:szCs w:val="24"/>
        </w:rPr>
        <w:t>un grado de discapacidad del 37</w:t>
      </w:r>
      <w:r w:rsidR="009E182C">
        <w:rPr>
          <w:rFonts w:ascii="Times New Roman" w:hAnsi="Times New Roman" w:cs="Times New Roman"/>
          <w:sz w:val="24"/>
          <w:szCs w:val="24"/>
        </w:rPr>
        <w:t xml:space="preserve"> </w:t>
      </w:r>
      <w:r w:rsidR="0084742E" w:rsidRPr="009E182C">
        <w:rPr>
          <w:rFonts w:ascii="Times New Roman" w:hAnsi="Times New Roman" w:cs="Times New Roman"/>
          <w:sz w:val="24"/>
          <w:szCs w:val="24"/>
        </w:rPr>
        <w:t xml:space="preserve">%, fundamentalmente debido a su obesidad y a una limitación funcional de la columna vertebral. El trabajador se encontró en situación de incapacidad </w:t>
      </w:r>
      <w:proofErr w:type="gramStart"/>
      <w:r w:rsidR="0084742E" w:rsidRPr="009E182C">
        <w:rPr>
          <w:rFonts w:ascii="Times New Roman" w:hAnsi="Times New Roman" w:cs="Times New Roman"/>
          <w:sz w:val="24"/>
          <w:szCs w:val="24"/>
        </w:rPr>
        <w:t>temporal</w:t>
      </w:r>
      <w:proofErr w:type="gramEnd"/>
      <w:r w:rsidR="0084742E" w:rsidRPr="009E182C">
        <w:rPr>
          <w:rFonts w:ascii="Times New Roman" w:hAnsi="Times New Roman" w:cs="Times New Roman"/>
          <w:sz w:val="24"/>
          <w:szCs w:val="24"/>
        </w:rPr>
        <w:t xml:space="preserve"> durante una serie de períodos, como consecuencia de problemas de salud cuyo origen, según los servicios médicos, radicaba en las patologías que habían dado lugar al reconocimiento de su discapacidad. El trabajador comunicó a la empresa las situaciones de baja y entregó los partes médicos correspondientes. A pesar de ello fue despedido, </w:t>
      </w:r>
      <w:r w:rsidR="009E182C">
        <w:rPr>
          <w:rFonts w:ascii="Times New Roman" w:hAnsi="Times New Roman" w:cs="Times New Roman"/>
          <w:sz w:val="24"/>
          <w:szCs w:val="24"/>
        </w:rPr>
        <w:t>con base en el</w:t>
      </w:r>
      <w:r w:rsidRPr="009E182C">
        <w:rPr>
          <w:rFonts w:ascii="Times New Roman" w:hAnsi="Times New Roman" w:cs="Times New Roman"/>
          <w:sz w:val="24"/>
          <w:szCs w:val="24"/>
        </w:rPr>
        <w:t xml:space="preserve"> referido art. 52 d) del Estatuto de los Trabajadores </w:t>
      </w:r>
      <w:r w:rsidR="0084742E" w:rsidRPr="009E182C">
        <w:rPr>
          <w:rFonts w:ascii="Times New Roman" w:hAnsi="Times New Roman" w:cs="Times New Roman"/>
          <w:sz w:val="24"/>
          <w:szCs w:val="24"/>
        </w:rPr>
        <w:t xml:space="preserve">pues </w:t>
      </w:r>
      <w:r w:rsidRPr="009E182C">
        <w:rPr>
          <w:rFonts w:ascii="Times New Roman" w:hAnsi="Times New Roman" w:cs="Times New Roman"/>
          <w:sz w:val="24"/>
          <w:szCs w:val="24"/>
        </w:rPr>
        <w:t xml:space="preserve">había acumulado </w:t>
      </w:r>
      <w:r w:rsidR="0084742E" w:rsidRPr="009E182C">
        <w:rPr>
          <w:rFonts w:ascii="Times New Roman" w:hAnsi="Times New Roman" w:cs="Times New Roman"/>
          <w:sz w:val="24"/>
          <w:szCs w:val="24"/>
        </w:rPr>
        <w:t xml:space="preserve">ausencias, aun justificadas, </w:t>
      </w:r>
      <w:r w:rsidRPr="009E182C">
        <w:rPr>
          <w:rFonts w:ascii="Times New Roman" w:hAnsi="Times New Roman" w:cs="Times New Roman"/>
          <w:sz w:val="24"/>
          <w:szCs w:val="24"/>
        </w:rPr>
        <w:t xml:space="preserve">que </w:t>
      </w:r>
      <w:r w:rsidR="0084742E" w:rsidRPr="009E182C">
        <w:rPr>
          <w:rFonts w:ascii="Times New Roman" w:hAnsi="Times New Roman" w:cs="Times New Roman"/>
          <w:sz w:val="24"/>
          <w:szCs w:val="24"/>
        </w:rPr>
        <w:t>supera</w:t>
      </w:r>
      <w:r w:rsidRPr="009E182C">
        <w:rPr>
          <w:rFonts w:ascii="Times New Roman" w:hAnsi="Times New Roman" w:cs="Times New Roman"/>
          <w:sz w:val="24"/>
          <w:szCs w:val="24"/>
        </w:rPr>
        <w:t>ron</w:t>
      </w:r>
      <w:r w:rsidR="0084742E" w:rsidRPr="009E182C">
        <w:rPr>
          <w:rFonts w:ascii="Times New Roman" w:hAnsi="Times New Roman" w:cs="Times New Roman"/>
          <w:sz w:val="24"/>
          <w:szCs w:val="24"/>
        </w:rPr>
        <w:t xml:space="preserve"> los límites </w:t>
      </w:r>
      <w:r w:rsidRPr="009E182C">
        <w:rPr>
          <w:rFonts w:ascii="Times New Roman" w:hAnsi="Times New Roman" w:cs="Times New Roman"/>
          <w:sz w:val="24"/>
          <w:szCs w:val="24"/>
        </w:rPr>
        <w:t>legales.</w:t>
      </w:r>
    </w:p>
    <w:p w:rsidR="009368FE" w:rsidRPr="009E182C" w:rsidRDefault="009368FE" w:rsidP="003E1817">
      <w:pPr>
        <w:jc w:val="both"/>
        <w:rPr>
          <w:rFonts w:ascii="Times New Roman" w:hAnsi="Times New Roman" w:cs="Times New Roman"/>
          <w:sz w:val="24"/>
          <w:szCs w:val="24"/>
        </w:rPr>
      </w:pPr>
      <w:r w:rsidRPr="009E182C">
        <w:rPr>
          <w:rFonts w:ascii="Times New Roman" w:hAnsi="Times New Roman" w:cs="Times New Roman"/>
          <w:sz w:val="24"/>
          <w:szCs w:val="24"/>
        </w:rPr>
        <w:t xml:space="preserve">El Juez había estimado que, en este caso, existe una diferencia de trato que implica una discriminación indirecta por motivos de discapacidad, en el sentido de la Directiva 2000/78, diferencia que no puede justificarse objetivamente con una finalidad legítima, pues considera que los trabajadores </w:t>
      </w:r>
      <w:r w:rsidR="009E182C">
        <w:rPr>
          <w:rFonts w:ascii="Times New Roman" w:hAnsi="Times New Roman" w:cs="Times New Roman"/>
          <w:sz w:val="24"/>
          <w:szCs w:val="24"/>
        </w:rPr>
        <w:t>con discapacidad</w:t>
      </w:r>
      <w:r w:rsidRPr="009E182C">
        <w:rPr>
          <w:rFonts w:ascii="Times New Roman" w:hAnsi="Times New Roman" w:cs="Times New Roman"/>
          <w:sz w:val="24"/>
          <w:szCs w:val="24"/>
        </w:rPr>
        <w:t xml:space="preserve"> se encuentran más expuestos que los demás trabajadores al riesgo de que se les aplique el umbral de faltas establecido en el Estatuto de los Trabajadores, con independencia de que el empleador tenga o no conocimiento de la situación de discapacidad.</w:t>
      </w:r>
    </w:p>
    <w:p w:rsidR="009368FE" w:rsidRPr="009E182C" w:rsidRDefault="003E1817" w:rsidP="003E1817">
      <w:pPr>
        <w:jc w:val="both"/>
        <w:rPr>
          <w:rFonts w:ascii="Times New Roman" w:hAnsi="Times New Roman" w:cs="Times New Roman"/>
          <w:sz w:val="24"/>
          <w:szCs w:val="24"/>
        </w:rPr>
      </w:pPr>
      <w:r w:rsidRPr="009E182C">
        <w:rPr>
          <w:rFonts w:ascii="Times New Roman" w:hAnsi="Times New Roman" w:cs="Times New Roman"/>
          <w:sz w:val="24"/>
          <w:szCs w:val="24"/>
        </w:rPr>
        <w:t>Al margen del fondo enjuiciado, e</w:t>
      </w:r>
      <w:r w:rsidR="009368FE" w:rsidRPr="009E182C">
        <w:rPr>
          <w:rFonts w:ascii="Times New Roman" w:hAnsi="Times New Roman" w:cs="Times New Roman"/>
          <w:sz w:val="24"/>
          <w:szCs w:val="24"/>
        </w:rPr>
        <w:t xml:space="preserve">n la Sentencia, el TJUE sienta un criterio que puede ser perjudicial para la defensa de las personas con discapacidad. Sostiene </w:t>
      </w:r>
      <w:r w:rsidR="003E01D8" w:rsidRPr="009E182C">
        <w:rPr>
          <w:rFonts w:ascii="Times New Roman" w:hAnsi="Times New Roman" w:cs="Times New Roman"/>
          <w:sz w:val="24"/>
          <w:szCs w:val="24"/>
        </w:rPr>
        <w:t xml:space="preserve">que la condición de </w:t>
      </w:r>
      <w:r w:rsidR="009E182C">
        <w:rPr>
          <w:rFonts w:ascii="Times New Roman" w:hAnsi="Times New Roman" w:cs="Times New Roman"/>
          <w:sz w:val="24"/>
          <w:szCs w:val="24"/>
        </w:rPr>
        <w:t>persona con discapacidad</w:t>
      </w:r>
      <w:r w:rsidR="003E01D8" w:rsidRPr="009E182C">
        <w:rPr>
          <w:rFonts w:ascii="Times New Roman" w:hAnsi="Times New Roman" w:cs="Times New Roman"/>
          <w:sz w:val="24"/>
          <w:szCs w:val="24"/>
        </w:rPr>
        <w:t xml:space="preserve"> a efectos del Derecho nacional no implica que </w:t>
      </w:r>
      <w:r w:rsidR="003E01D8" w:rsidRPr="009E182C">
        <w:rPr>
          <w:rFonts w:ascii="Times New Roman" w:hAnsi="Times New Roman" w:cs="Times New Roman"/>
          <w:sz w:val="24"/>
          <w:szCs w:val="24"/>
        </w:rPr>
        <w:lastRenderedPageBreak/>
        <w:t>tenga una discapacidad a efectos de la Directiva, debiendo el Juez español comprobar si la incapacidad que padece se corresponde con «una limitación de la capacidad derivada, en particular, de dolencias físicas, mentales o psíquicas a largo plazo que, al interactuar con diversas barreras, pueden impedir la participación plena y efectiva de la persona de que se trate en la vida profesional en igualdad de condiciones con los demás trabajadores»</w:t>
      </w:r>
      <w:r w:rsidRPr="009E182C">
        <w:rPr>
          <w:rFonts w:ascii="Times New Roman" w:hAnsi="Times New Roman" w:cs="Times New Roman"/>
          <w:sz w:val="24"/>
          <w:szCs w:val="24"/>
        </w:rPr>
        <w:t xml:space="preserve"> Es decir, el reconocimiento del grado de discapacidad no es suficiente; se precisa probar que es real.</w:t>
      </w:r>
    </w:p>
    <w:p w:rsidR="003E01D8" w:rsidRPr="009E182C" w:rsidRDefault="003E01D8" w:rsidP="003E1817">
      <w:pPr>
        <w:jc w:val="both"/>
        <w:rPr>
          <w:rFonts w:ascii="Times New Roman" w:hAnsi="Times New Roman" w:cs="Times New Roman"/>
          <w:sz w:val="24"/>
          <w:szCs w:val="24"/>
        </w:rPr>
      </w:pPr>
      <w:r w:rsidRPr="009E182C">
        <w:rPr>
          <w:rFonts w:ascii="Times New Roman" w:hAnsi="Times New Roman" w:cs="Times New Roman"/>
          <w:sz w:val="24"/>
          <w:szCs w:val="24"/>
        </w:rPr>
        <w:t>Sin embargo, hay que recordar que el TJUE</w:t>
      </w:r>
      <w:r w:rsidR="0084742E" w:rsidRPr="009E182C">
        <w:rPr>
          <w:rFonts w:ascii="Times New Roman" w:hAnsi="Times New Roman" w:cs="Times New Roman"/>
          <w:sz w:val="24"/>
          <w:szCs w:val="24"/>
        </w:rPr>
        <w:t xml:space="preserve"> ya declaró que la obesidad está considerada incapacidad en ese sentido si impide la participación plena y efectiva del trabajador «en la vida profesional en igualdad de condiciones con los demás trabajadores a causa de su movilidad reducida o a causa de la concurrencia de patologías que no le permitan realizar su trabajo o que le generen dificultades en el ejercicio de su actividad profesional».</w:t>
      </w:r>
    </w:p>
    <w:p w:rsidR="003E01D8" w:rsidRPr="009E182C" w:rsidRDefault="003E1817" w:rsidP="003E1817">
      <w:pPr>
        <w:jc w:val="both"/>
        <w:rPr>
          <w:rFonts w:ascii="Times New Roman" w:hAnsi="Times New Roman" w:cs="Times New Roman"/>
          <w:sz w:val="24"/>
          <w:szCs w:val="24"/>
        </w:rPr>
      </w:pPr>
      <w:r w:rsidRPr="009E182C">
        <w:rPr>
          <w:rFonts w:ascii="Times New Roman" w:hAnsi="Times New Roman" w:cs="Times New Roman"/>
          <w:sz w:val="24"/>
          <w:szCs w:val="24"/>
        </w:rPr>
        <w:t>En cuanto al fondo del asunto, e</w:t>
      </w:r>
      <w:r w:rsidR="003E01D8" w:rsidRPr="009E182C">
        <w:rPr>
          <w:rFonts w:ascii="Times New Roman" w:hAnsi="Times New Roman" w:cs="Times New Roman"/>
          <w:sz w:val="24"/>
          <w:szCs w:val="24"/>
        </w:rPr>
        <w:t>l TJUE excluye la discriminación directa porque la norma se aplica de manera idéntica a las personas con discapacidad y a las personas sin discapacidad que hayan faltado al trabajo.</w:t>
      </w:r>
      <w:r w:rsidRPr="009E182C">
        <w:rPr>
          <w:rFonts w:ascii="Times New Roman" w:hAnsi="Times New Roman" w:cs="Times New Roman"/>
          <w:sz w:val="24"/>
          <w:szCs w:val="24"/>
        </w:rPr>
        <w:t xml:space="preserve"> En realidad</w:t>
      </w:r>
      <w:r w:rsidR="00064E33" w:rsidRPr="009E182C">
        <w:rPr>
          <w:rFonts w:ascii="Times New Roman" w:hAnsi="Times New Roman" w:cs="Times New Roman"/>
          <w:sz w:val="24"/>
          <w:szCs w:val="24"/>
        </w:rPr>
        <w:t>,</w:t>
      </w:r>
      <w:r w:rsidRPr="009E182C">
        <w:rPr>
          <w:rFonts w:ascii="Times New Roman" w:hAnsi="Times New Roman" w:cs="Times New Roman"/>
          <w:sz w:val="24"/>
          <w:szCs w:val="24"/>
        </w:rPr>
        <w:t xml:space="preserve"> esto ya lo había excluido el Juez y </w:t>
      </w:r>
      <w:r w:rsidR="00064E33" w:rsidRPr="009E182C">
        <w:rPr>
          <w:rFonts w:ascii="Times New Roman" w:hAnsi="Times New Roman" w:cs="Times New Roman"/>
          <w:sz w:val="24"/>
          <w:szCs w:val="24"/>
        </w:rPr>
        <w:t>demás</w:t>
      </w:r>
      <w:r w:rsidRPr="009E182C">
        <w:rPr>
          <w:rFonts w:ascii="Times New Roman" w:hAnsi="Times New Roman" w:cs="Times New Roman"/>
          <w:sz w:val="24"/>
          <w:szCs w:val="24"/>
        </w:rPr>
        <w:t xml:space="preserve"> parece una decisión razonable</w:t>
      </w:r>
      <w:r w:rsidR="00064E33" w:rsidRPr="009E182C">
        <w:rPr>
          <w:rFonts w:ascii="Times New Roman" w:hAnsi="Times New Roman" w:cs="Times New Roman"/>
          <w:sz w:val="24"/>
          <w:szCs w:val="24"/>
        </w:rPr>
        <w:t xml:space="preserve"> pues efectivamente es así.</w:t>
      </w:r>
    </w:p>
    <w:p w:rsidR="003E01D8" w:rsidRPr="009E182C" w:rsidRDefault="003E01D8" w:rsidP="003E1817">
      <w:pPr>
        <w:jc w:val="both"/>
        <w:rPr>
          <w:rFonts w:ascii="Times New Roman" w:hAnsi="Times New Roman" w:cs="Times New Roman"/>
          <w:sz w:val="24"/>
          <w:szCs w:val="24"/>
        </w:rPr>
      </w:pPr>
      <w:r w:rsidRPr="009E182C">
        <w:rPr>
          <w:rFonts w:ascii="Times New Roman" w:hAnsi="Times New Roman" w:cs="Times New Roman"/>
          <w:sz w:val="24"/>
          <w:szCs w:val="24"/>
        </w:rPr>
        <w:t>Sin embargo, considera que, en este punto (despido basado en el 52 d), el Estatuto de los Trabajadores puede incurrir en una discriminación indirecta por motivos de discapacidad.</w:t>
      </w:r>
    </w:p>
    <w:p w:rsidR="003E01D8" w:rsidRPr="009E182C" w:rsidRDefault="003E01D8" w:rsidP="003E1817">
      <w:pPr>
        <w:jc w:val="both"/>
        <w:rPr>
          <w:rFonts w:ascii="Times New Roman" w:hAnsi="Times New Roman" w:cs="Times New Roman"/>
          <w:sz w:val="24"/>
          <w:szCs w:val="24"/>
        </w:rPr>
      </w:pPr>
      <w:r w:rsidRPr="009E182C">
        <w:rPr>
          <w:rFonts w:ascii="Times New Roman" w:hAnsi="Times New Roman" w:cs="Times New Roman"/>
          <w:sz w:val="24"/>
          <w:szCs w:val="24"/>
        </w:rPr>
        <w:t xml:space="preserve">Ahora bien, al analizar si esta diferencia de trato puede estar objetivamente justificada por una finalidad legítima y si los medios aplicados para la consecución de </w:t>
      </w:r>
      <w:r w:rsidR="009D4AE4" w:rsidRPr="009E182C">
        <w:rPr>
          <w:rFonts w:ascii="Times New Roman" w:hAnsi="Times New Roman" w:cs="Times New Roman"/>
          <w:sz w:val="24"/>
          <w:szCs w:val="24"/>
        </w:rPr>
        <w:t>e</w:t>
      </w:r>
      <w:r w:rsidRPr="009E182C">
        <w:rPr>
          <w:rFonts w:ascii="Times New Roman" w:hAnsi="Times New Roman" w:cs="Times New Roman"/>
          <w:sz w:val="24"/>
          <w:szCs w:val="24"/>
        </w:rPr>
        <w:t xml:space="preserve">sta son adecuados y no van más allá de lo necesario para alcanzar la finalidad prevista, el TJUE estima, dando la razón al Gobierno español, que combatir el absentismo laboral constituye una finalidad legítima a efectos de la Directiva. </w:t>
      </w:r>
    </w:p>
    <w:p w:rsidR="003E01D8" w:rsidRPr="009E182C" w:rsidRDefault="003E01D8" w:rsidP="003E1817">
      <w:pPr>
        <w:jc w:val="both"/>
        <w:rPr>
          <w:rFonts w:ascii="Times New Roman" w:hAnsi="Times New Roman" w:cs="Times New Roman"/>
          <w:sz w:val="24"/>
          <w:szCs w:val="24"/>
        </w:rPr>
      </w:pPr>
      <w:r w:rsidRPr="009E182C">
        <w:rPr>
          <w:rFonts w:ascii="Times New Roman" w:hAnsi="Times New Roman" w:cs="Times New Roman"/>
          <w:sz w:val="24"/>
          <w:szCs w:val="24"/>
        </w:rPr>
        <w:t>En este punto</w:t>
      </w:r>
      <w:r w:rsidR="00064E33" w:rsidRPr="009E182C">
        <w:rPr>
          <w:rFonts w:ascii="Times New Roman" w:hAnsi="Times New Roman" w:cs="Times New Roman"/>
          <w:sz w:val="24"/>
          <w:szCs w:val="24"/>
        </w:rPr>
        <w:t>, traslada</w:t>
      </w:r>
      <w:r w:rsidRPr="009E182C">
        <w:rPr>
          <w:rFonts w:ascii="Times New Roman" w:hAnsi="Times New Roman" w:cs="Times New Roman"/>
          <w:sz w:val="24"/>
          <w:szCs w:val="24"/>
        </w:rPr>
        <w:t xml:space="preserve"> al Juez español </w:t>
      </w:r>
      <w:r w:rsidR="00064E33" w:rsidRPr="009E182C">
        <w:rPr>
          <w:rFonts w:ascii="Times New Roman" w:hAnsi="Times New Roman" w:cs="Times New Roman"/>
          <w:sz w:val="24"/>
          <w:szCs w:val="24"/>
        </w:rPr>
        <w:t xml:space="preserve">la tarea de </w:t>
      </w:r>
      <w:r w:rsidRPr="009E182C">
        <w:rPr>
          <w:rFonts w:ascii="Times New Roman" w:hAnsi="Times New Roman" w:cs="Times New Roman"/>
          <w:sz w:val="24"/>
          <w:szCs w:val="24"/>
        </w:rPr>
        <w:t>evaluar si concurre o no esa finalidad de luchar contra el absentismo.</w:t>
      </w:r>
    </w:p>
    <w:p w:rsidR="003E1817" w:rsidRPr="009E182C" w:rsidRDefault="003E01D8" w:rsidP="003E1817">
      <w:pPr>
        <w:jc w:val="both"/>
        <w:rPr>
          <w:rFonts w:ascii="Times New Roman" w:hAnsi="Times New Roman" w:cs="Times New Roman"/>
          <w:sz w:val="24"/>
          <w:szCs w:val="24"/>
        </w:rPr>
      </w:pPr>
      <w:r w:rsidRPr="009E182C">
        <w:rPr>
          <w:rFonts w:ascii="Times New Roman" w:hAnsi="Times New Roman" w:cs="Times New Roman"/>
          <w:sz w:val="24"/>
          <w:szCs w:val="24"/>
        </w:rPr>
        <w:t xml:space="preserve">En conclusión, esta Sentencia </w:t>
      </w:r>
      <w:r w:rsidR="003E1817" w:rsidRPr="009E182C">
        <w:rPr>
          <w:rFonts w:ascii="Times New Roman" w:hAnsi="Times New Roman" w:cs="Times New Roman"/>
          <w:sz w:val="24"/>
          <w:szCs w:val="24"/>
        </w:rPr>
        <w:t xml:space="preserve">del TJUE sienta un criterio de cierta importancia, pero no es generalizable y ni siquiera obliga </w:t>
      </w:r>
      <w:r w:rsidR="00064E33" w:rsidRPr="009E182C">
        <w:rPr>
          <w:rFonts w:ascii="Times New Roman" w:hAnsi="Times New Roman" w:cs="Times New Roman"/>
          <w:sz w:val="24"/>
          <w:szCs w:val="24"/>
        </w:rPr>
        <w:t xml:space="preserve">o estimula </w:t>
      </w:r>
      <w:r w:rsidR="003E1817" w:rsidRPr="009E182C">
        <w:rPr>
          <w:rFonts w:ascii="Times New Roman" w:hAnsi="Times New Roman" w:cs="Times New Roman"/>
          <w:sz w:val="24"/>
          <w:szCs w:val="24"/>
        </w:rPr>
        <w:t xml:space="preserve">al legislador español a modificar la norma sobre el despido, </w:t>
      </w:r>
      <w:r w:rsidR="00064E33" w:rsidRPr="009E182C">
        <w:rPr>
          <w:rFonts w:ascii="Times New Roman" w:hAnsi="Times New Roman" w:cs="Times New Roman"/>
          <w:sz w:val="24"/>
          <w:szCs w:val="24"/>
        </w:rPr>
        <w:t xml:space="preserve">al hacer </w:t>
      </w:r>
      <w:r w:rsidR="003E1817" w:rsidRPr="009E182C">
        <w:rPr>
          <w:rFonts w:ascii="Times New Roman" w:hAnsi="Times New Roman" w:cs="Times New Roman"/>
          <w:sz w:val="24"/>
          <w:szCs w:val="24"/>
        </w:rPr>
        <w:t>recaer en la Justicia española la decisión final.</w:t>
      </w:r>
    </w:p>
    <w:p w:rsidR="003E1817" w:rsidRDefault="005B0E0D" w:rsidP="009E18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 de febrero</w:t>
      </w:r>
      <w:r w:rsidR="003E1817" w:rsidRPr="003E1817">
        <w:rPr>
          <w:rFonts w:ascii="Times New Roman" w:hAnsi="Times New Roman" w:cs="Times New Roman"/>
          <w:sz w:val="24"/>
          <w:szCs w:val="24"/>
        </w:rPr>
        <w:t xml:space="preserve"> de 2018</w:t>
      </w:r>
      <w:r w:rsidR="009E182C">
        <w:rPr>
          <w:rFonts w:ascii="Times New Roman" w:hAnsi="Times New Roman" w:cs="Times New Roman"/>
          <w:sz w:val="24"/>
          <w:szCs w:val="24"/>
        </w:rPr>
        <w:t>.</w:t>
      </w:r>
    </w:p>
    <w:p w:rsidR="000D4F39" w:rsidRDefault="000D4F39" w:rsidP="000D4F39">
      <w:pPr>
        <w:spacing w:after="0" w:line="240" w:lineRule="auto"/>
        <w:jc w:val="both"/>
        <w:rPr>
          <w:rFonts w:ascii="Times New Roman" w:hAnsi="Times New Roman" w:cs="Times New Roman"/>
          <w:sz w:val="24"/>
          <w:szCs w:val="24"/>
        </w:rPr>
      </w:pPr>
    </w:p>
    <w:p w:rsidR="000D4F39" w:rsidRDefault="000D4F39" w:rsidP="000D4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Miguel Ángel Cabra de Luna.</w:t>
      </w:r>
    </w:p>
    <w:p w:rsidR="000D4F39" w:rsidRDefault="000D4F39" w:rsidP="000D4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de Relaciones Sociales e Internacionales y Planes Estratégicos de Fundación ONCE</w:t>
      </w:r>
    </w:p>
    <w:p w:rsidR="000D4F39" w:rsidRDefault="000D4F39" w:rsidP="000D4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Consejero del Comité Económico y Social Europeo (CESE) en representación de CEPES</w:t>
      </w:r>
    </w:p>
    <w:p w:rsidR="009E182C" w:rsidRDefault="009E182C" w:rsidP="000D4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de los Servicios Jurídicos del CERMI</w:t>
      </w:r>
    </w:p>
    <w:p w:rsidR="009E182C" w:rsidRDefault="009E182C" w:rsidP="000D4F39">
      <w:pPr>
        <w:spacing w:after="0" w:line="240" w:lineRule="auto"/>
        <w:jc w:val="both"/>
        <w:rPr>
          <w:rFonts w:ascii="Times New Roman" w:hAnsi="Times New Roman" w:cs="Times New Roman"/>
          <w:sz w:val="24"/>
          <w:szCs w:val="24"/>
        </w:rPr>
      </w:pPr>
    </w:p>
    <w:p w:rsidR="009E182C" w:rsidRPr="009E182C" w:rsidRDefault="009E182C" w:rsidP="009E182C">
      <w:pPr>
        <w:spacing w:after="0" w:line="240" w:lineRule="auto"/>
        <w:jc w:val="center"/>
        <w:rPr>
          <w:rFonts w:ascii="Times New Roman" w:hAnsi="Times New Roman" w:cs="Times New Roman"/>
          <w:b/>
          <w:sz w:val="24"/>
          <w:szCs w:val="24"/>
        </w:rPr>
      </w:pPr>
      <w:r w:rsidRPr="009E182C">
        <w:rPr>
          <w:rFonts w:ascii="Times New Roman" w:hAnsi="Times New Roman" w:cs="Times New Roman"/>
          <w:b/>
          <w:sz w:val="24"/>
          <w:szCs w:val="24"/>
        </w:rPr>
        <w:t>CERMI</w:t>
      </w:r>
    </w:p>
    <w:p w:rsidR="009E182C" w:rsidRPr="009E182C" w:rsidRDefault="00354EF7" w:rsidP="009E182C">
      <w:pPr>
        <w:spacing w:after="0" w:line="240" w:lineRule="auto"/>
        <w:jc w:val="center"/>
        <w:rPr>
          <w:rFonts w:ascii="Times New Roman" w:hAnsi="Times New Roman" w:cs="Times New Roman"/>
          <w:b/>
          <w:sz w:val="24"/>
          <w:szCs w:val="24"/>
        </w:rPr>
      </w:pPr>
      <w:hyperlink r:id="rId10" w:history="1">
        <w:r w:rsidR="009E182C" w:rsidRPr="009E182C">
          <w:rPr>
            <w:rStyle w:val="Hipervnculo"/>
            <w:rFonts w:ascii="Times New Roman" w:hAnsi="Times New Roman" w:cs="Times New Roman"/>
            <w:b/>
            <w:sz w:val="24"/>
            <w:szCs w:val="24"/>
          </w:rPr>
          <w:t>www.cermi.es</w:t>
        </w:r>
      </w:hyperlink>
    </w:p>
    <w:p w:rsidR="009E182C" w:rsidRDefault="009E182C" w:rsidP="000D4F39">
      <w:pPr>
        <w:spacing w:after="0" w:line="240" w:lineRule="auto"/>
        <w:jc w:val="both"/>
        <w:rPr>
          <w:rFonts w:ascii="Times New Roman" w:hAnsi="Times New Roman" w:cs="Times New Roman"/>
          <w:sz w:val="24"/>
          <w:szCs w:val="24"/>
        </w:rPr>
      </w:pPr>
    </w:p>
    <w:p w:rsidR="000D4F39" w:rsidRPr="003E1817" w:rsidRDefault="000D4F39" w:rsidP="000D4F39">
      <w:pPr>
        <w:jc w:val="right"/>
        <w:rPr>
          <w:rFonts w:ascii="Times New Roman" w:hAnsi="Times New Roman" w:cs="Times New Roman"/>
          <w:sz w:val="24"/>
          <w:szCs w:val="24"/>
        </w:rPr>
      </w:pPr>
    </w:p>
    <w:sectPr w:rsidR="000D4F39" w:rsidRPr="003E1817">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21" w:rsidRDefault="006B4021" w:rsidP="00CD1B2E">
      <w:pPr>
        <w:spacing w:after="0" w:line="240" w:lineRule="auto"/>
      </w:pPr>
      <w:r>
        <w:separator/>
      </w:r>
    </w:p>
  </w:endnote>
  <w:endnote w:type="continuationSeparator" w:id="0">
    <w:p w:rsidR="006B4021" w:rsidRDefault="006B4021" w:rsidP="00CD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5C" w:rsidRDefault="000B74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5C" w:rsidRDefault="000B74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5C" w:rsidRDefault="000B74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21" w:rsidRDefault="006B4021" w:rsidP="00CD1B2E">
      <w:pPr>
        <w:spacing w:after="0" w:line="240" w:lineRule="auto"/>
      </w:pPr>
      <w:r>
        <w:separator/>
      </w:r>
    </w:p>
  </w:footnote>
  <w:footnote w:type="continuationSeparator" w:id="0">
    <w:p w:rsidR="006B4021" w:rsidRDefault="006B4021" w:rsidP="00CD1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5C" w:rsidRDefault="000B74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5C" w:rsidRDefault="000B745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5C" w:rsidRDefault="000B74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2E"/>
    <w:rsid w:val="00064E33"/>
    <w:rsid w:val="000B6913"/>
    <w:rsid w:val="000B745C"/>
    <w:rsid w:val="000D4F39"/>
    <w:rsid w:val="00354EF7"/>
    <w:rsid w:val="003E01D8"/>
    <w:rsid w:val="003E1817"/>
    <w:rsid w:val="005B0E0D"/>
    <w:rsid w:val="006B4021"/>
    <w:rsid w:val="0084742E"/>
    <w:rsid w:val="009368FE"/>
    <w:rsid w:val="00981A73"/>
    <w:rsid w:val="009D4AE4"/>
    <w:rsid w:val="009E182C"/>
    <w:rsid w:val="00CD1B2E"/>
    <w:rsid w:val="00E94A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69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913"/>
    <w:rPr>
      <w:rFonts w:ascii="Tahoma" w:hAnsi="Tahoma" w:cs="Tahoma"/>
      <w:sz w:val="16"/>
      <w:szCs w:val="16"/>
    </w:rPr>
  </w:style>
  <w:style w:type="paragraph" w:styleId="Encabezado">
    <w:name w:val="header"/>
    <w:basedOn w:val="Normal"/>
    <w:link w:val="EncabezadoCar"/>
    <w:uiPriority w:val="99"/>
    <w:unhideWhenUsed/>
    <w:rsid w:val="00CD1B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1B2E"/>
  </w:style>
  <w:style w:type="paragraph" w:styleId="Piedepgina">
    <w:name w:val="footer"/>
    <w:basedOn w:val="Normal"/>
    <w:link w:val="PiedepginaCar"/>
    <w:uiPriority w:val="99"/>
    <w:unhideWhenUsed/>
    <w:rsid w:val="00CD1B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1B2E"/>
  </w:style>
  <w:style w:type="character" w:styleId="Hipervnculo">
    <w:name w:val="Hyperlink"/>
    <w:basedOn w:val="Fuentedeprrafopredeter"/>
    <w:uiPriority w:val="99"/>
    <w:unhideWhenUsed/>
    <w:rsid w:val="009E18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69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913"/>
    <w:rPr>
      <w:rFonts w:ascii="Tahoma" w:hAnsi="Tahoma" w:cs="Tahoma"/>
      <w:sz w:val="16"/>
      <w:szCs w:val="16"/>
    </w:rPr>
  </w:style>
  <w:style w:type="paragraph" w:styleId="Encabezado">
    <w:name w:val="header"/>
    <w:basedOn w:val="Normal"/>
    <w:link w:val="EncabezadoCar"/>
    <w:uiPriority w:val="99"/>
    <w:unhideWhenUsed/>
    <w:rsid w:val="00CD1B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1B2E"/>
  </w:style>
  <w:style w:type="paragraph" w:styleId="Piedepgina">
    <w:name w:val="footer"/>
    <w:basedOn w:val="Normal"/>
    <w:link w:val="PiedepginaCar"/>
    <w:uiPriority w:val="99"/>
    <w:unhideWhenUsed/>
    <w:rsid w:val="00CD1B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1B2E"/>
  </w:style>
  <w:style w:type="character" w:styleId="Hipervnculo">
    <w:name w:val="Hyperlink"/>
    <w:basedOn w:val="Fuentedeprrafopredeter"/>
    <w:uiPriority w:val="99"/>
    <w:unhideWhenUsed/>
    <w:rsid w:val="009E1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ermi.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CF32-ACE1-485C-AFD0-76BF05D2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4783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2018-02-26T10:19:00Z</dcterms:created>
  <dcterms:modified xsi:type="dcterms:W3CDTF">2018-02-26T10:19:00Z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