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12B17" w14:textId="77777777" w:rsidR="00B5299A" w:rsidRPr="00B5299A" w:rsidRDefault="00B5299A" w:rsidP="00B5299A">
      <w:pPr>
        <w:shd w:val="clear" w:color="auto" w:fill="D9D9D9" w:themeFill="background1" w:themeFillShade="D9"/>
        <w:spacing w:line="200" w:lineRule="atLeast"/>
        <w:jc w:val="center"/>
        <w:rPr>
          <w:rFonts w:ascii="Arial" w:hAnsi="Arial" w:cs="Arial"/>
          <w:b/>
          <w:sz w:val="16"/>
          <w:szCs w:val="16"/>
        </w:rPr>
      </w:pPr>
      <w:bookmarkStart w:id="0" w:name="_GoBack"/>
      <w:bookmarkEnd w:id="0"/>
    </w:p>
    <w:p w14:paraId="0C9ECD00" w14:textId="77777777" w:rsidR="00E01C16" w:rsidRPr="00B5299A" w:rsidRDefault="00E01C16" w:rsidP="00B5299A">
      <w:pPr>
        <w:shd w:val="clear" w:color="auto" w:fill="D9D9D9" w:themeFill="background1" w:themeFillShade="D9"/>
        <w:spacing w:line="200" w:lineRule="atLeast"/>
        <w:jc w:val="center"/>
        <w:rPr>
          <w:rFonts w:ascii="Arial" w:hAnsi="Arial" w:cs="Arial"/>
          <w:b/>
          <w:sz w:val="32"/>
          <w:szCs w:val="32"/>
        </w:rPr>
      </w:pPr>
      <w:r w:rsidRPr="00B5299A">
        <w:rPr>
          <w:rFonts w:ascii="Arial" w:hAnsi="Arial" w:cs="Arial"/>
          <w:b/>
          <w:sz w:val="32"/>
          <w:szCs w:val="32"/>
        </w:rPr>
        <w:t>COMITÉ DE EXPERTOS BAREMO DAÑOS SANITARIOS</w:t>
      </w:r>
      <w:r w:rsidR="00B5299A">
        <w:rPr>
          <w:rFonts w:ascii="Arial" w:hAnsi="Arial" w:cs="Arial"/>
          <w:b/>
          <w:sz w:val="32"/>
          <w:szCs w:val="32"/>
        </w:rPr>
        <w:t xml:space="preserve"> </w:t>
      </w:r>
    </w:p>
    <w:p w14:paraId="432B42F4" w14:textId="77777777" w:rsidR="00E01C16" w:rsidRDefault="00B5299A" w:rsidP="00B5299A">
      <w:pPr>
        <w:shd w:val="clear" w:color="auto" w:fill="D9D9D9" w:themeFill="background1" w:themeFillShade="D9"/>
        <w:tabs>
          <w:tab w:val="center" w:pos="4252"/>
          <w:tab w:val="left" w:pos="7707"/>
        </w:tabs>
        <w:spacing w:line="200" w:lineRule="atLeast"/>
        <w:rPr>
          <w:rFonts w:ascii="Arial" w:hAnsi="Arial" w:cs="Arial"/>
          <w:b/>
          <w:sz w:val="12"/>
          <w:szCs w:val="12"/>
        </w:rPr>
      </w:pPr>
      <w:r w:rsidRPr="00B5299A">
        <w:rPr>
          <w:rFonts w:ascii="Arial" w:hAnsi="Arial" w:cs="Arial"/>
          <w:b/>
          <w:sz w:val="32"/>
          <w:szCs w:val="32"/>
        </w:rPr>
        <w:tab/>
      </w:r>
      <w:r w:rsidR="00E01C16" w:rsidRPr="00B5299A">
        <w:rPr>
          <w:rFonts w:ascii="Arial" w:hAnsi="Arial" w:cs="Arial"/>
          <w:b/>
          <w:sz w:val="32"/>
          <w:szCs w:val="32"/>
        </w:rPr>
        <w:t xml:space="preserve">CUESTIONARIO COLABORADORES </w:t>
      </w:r>
      <w:r w:rsidR="006F1D6A" w:rsidRPr="00B5299A">
        <w:rPr>
          <w:rFonts w:ascii="Arial" w:hAnsi="Arial" w:cs="Arial"/>
          <w:b/>
          <w:sz w:val="32"/>
          <w:szCs w:val="32"/>
        </w:rPr>
        <w:t>EXTERNOS</w:t>
      </w:r>
    </w:p>
    <w:p w14:paraId="6DB46F31" w14:textId="77777777" w:rsidR="00B5299A" w:rsidRPr="00B5299A" w:rsidRDefault="00B5299A" w:rsidP="00B5299A">
      <w:pPr>
        <w:shd w:val="clear" w:color="auto" w:fill="D9D9D9" w:themeFill="background1" w:themeFillShade="D9"/>
        <w:tabs>
          <w:tab w:val="center" w:pos="4252"/>
          <w:tab w:val="left" w:pos="7707"/>
        </w:tabs>
        <w:spacing w:line="200" w:lineRule="atLeast"/>
        <w:rPr>
          <w:rFonts w:ascii="Arial" w:hAnsi="Arial" w:cs="Arial"/>
          <w:b/>
          <w:sz w:val="12"/>
          <w:szCs w:val="12"/>
        </w:rPr>
      </w:pPr>
    </w:p>
    <w:p w14:paraId="3E1AA1DD" w14:textId="77777777" w:rsidR="00B5299A" w:rsidRPr="00B5299A" w:rsidRDefault="00B5299A" w:rsidP="00B5299A">
      <w:pPr>
        <w:spacing w:line="240" w:lineRule="auto"/>
        <w:jc w:val="center"/>
        <w:rPr>
          <w:rFonts w:cs="Tahoma"/>
          <w:b/>
          <w:sz w:val="28"/>
          <w:szCs w:val="28"/>
          <w:u w:val="single"/>
        </w:rPr>
      </w:pPr>
    </w:p>
    <w:tbl>
      <w:tblPr>
        <w:tblStyle w:val="Tablaconcuadrcula"/>
        <w:tblW w:w="9214" w:type="dxa"/>
        <w:tblInd w:w="-459" w:type="dxa"/>
        <w:tblLayout w:type="fixed"/>
        <w:tblLook w:val="04A0" w:firstRow="1" w:lastRow="0" w:firstColumn="1" w:lastColumn="0" w:noHBand="0" w:noVBand="1"/>
      </w:tblPr>
      <w:tblGrid>
        <w:gridCol w:w="9214"/>
      </w:tblGrid>
      <w:tr w:rsidR="00E01C16" w:rsidRPr="00B5299A" w14:paraId="622CFEB3" w14:textId="77777777" w:rsidTr="00845AF2">
        <w:trPr>
          <w:trHeight w:val="567"/>
        </w:trPr>
        <w:tc>
          <w:tcPr>
            <w:tcW w:w="9214" w:type="dxa"/>
          </w:tcPr>
          <w:p w14:paraId="1EC066E4" w14:textId="77777777" w:rsidR="00E01C16" w:rsidRPr="00B5299A" w:rsidRDefault="00E01C16" w:rsidP="00D94580">
            <w:pPr>
              <w:rPr>
                <w:rFonts w:cs="Times New Roman"/>
                <w:b/>
                <w:u w:val="single"/>
              </w:rPr>
            </w:pPr>
            <w:r w:rsidRPr="00B5299A">
              <w:rPr>
                <w:rFonts w:cs="Times New Roman"/>
                <w:b/>
                <w:u w:val="single"/>
              </w:rPr>
              <w:t>ENTIDAD/ADMON CONSULTADA</w:t>
            </w:r>
            <w:r w:rsidR="00845AF2" w:rsidRPr="00845AF2">
              <w:rPr>
                <w:rFonts w:cs="Times New Roman"/>
                <w:b/>
              </w:rPr>
              <w:t>.-</w:t>
            </w:r>
          </w:p>
          <w:p w14:paraId="5637F6DE" w14:textId="77777777" w:rsidR="00E01C16" w:rsidRDefault="004E1F02" w:rsidP="00D94580">
            <w:pPr>
              <w:rPr>
                <w:sz w:val="24"/>
                <w:szCs w:val="24"/>
              </w:rPr>
            </w:pPr>
            <w:r>
              <w:rPr>
                <w:sz w:val="24"/>
                <w:szCs w:val="24"/>
              </w:rPr>
              <w:t>COMITÉ ESPAÑOL DE REPRESENTANTES DE PERSONAS CON DISCAPACIDAD (CERMI)</w:t>
            </w:r>
          </w:p>
          <w:p w14:paraId="517E0862" w14:textId="77777777" w:rsidR="00575767" w:rsidRDefault="00575767" w:rsidP="00D94580">
            <w:pPr>
              <w:rPr>
                <w:sz w:val="24"/>
                <w:szCs w:val="24"/>
              </w:rPr>
            </w:pPr>
          </w:p>
          <w:p w14:paraId="58F1164E" w14:textId="7934CA2E" w:rsidR="00575767" w:rsidRDefault="00575767" w:rsidP="00575767">
            <w:pPr>
              <w:jc w:val="center"/>
              <w:rPr>
                <w:sz w:val="24"/>
                <w:szCs w:val="24"/>
              </w:rPr>
            </w:pPr>
            <w:r>
              <w:rPr>
                <w:rFonts w:ascii="Helvetica" w:hAnsi="Helvetica" w:cs="Helvetica"/>
                <w:noProof/>
                <w:sz w:val="24"/>
                <w:szCs w:val="24"/>
                <w:lang w:eastAsia="es-ES"/>
              </w:rPr>
              <w:drawing>
                <wp:inline distT="0" distB="0" distL="0" distR="0" wp14:anchorId="1B5819E0" wp14:editId="23A5F240">
                  <wp:extent cx="1092835" cy="724268"/>
                  <wp:effectExtent l="0" t="0" r="0" b="127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835" cy="724268"/>
                          </a:xfrm>
                          <a:prstGeom prst="rect">
                            <a:avLst/>
                          </a:prstGeom>
                          <a:noFill/>
                          <a:ln>
                            <a:noFill/>
                          </a:ln>
                        </pic:spPr>
                      </pic:pic>
                    </a:graphicData>
                  </a:graphic>
                </wp:inline>
              </w:drawing>
            </w:r>
          </w:p>
          <w:p w14:paraId="3C068BC6" w14:textId="77777777" w:rsidR="00E01C16" w:rsidRPr="00B5299A" w:rsidRDefault="00E01C16" w:rsidP="00575767">
            <w:pPr>
              <w:rPr>
                <w:sz w:val="24"/>
                <w:szCs w:val="24"/>
              </w:rPr>
            </w:pPr>
          </w:p>
        </w:tc>
      </w:tr>
      <w:tr w:rsidR="00E01C16" w:rsidRPr="00B5299A" w14:paraId="3E3C51A4" w14:textId="77777777" w:rsidTr="00845AF2">
        <w:trPr>
          <w:trHeight w:val="567"/>
        </w:trPr>
        <w:tc>
          <w:tcPr>
            <w:tcW w:w="9214" w:type="dxa"/>
          </w:tcPr>
          <w:p w14:paraId="7333F5B6" w14:textId="77777777" w:rsidR="00E01C16" w:rsidRPr="00B5299A" w:rsidRDefault="00E01C16" w:rsidP="00D94580">
            <w:pPr>
              <w:rPr>
                <w:rFonts w:cs="Times New Roman"/>
                <w:b/>
                <w:u w:val="single"/>
              </w:rPr>
            </w:pPr>
            <w:r w:rsidRPr="00B5299A">
              <w:rPr>
                <w:rFonts w:cs="Times New Roman"/>
                <w:b/>
                <w:u w:val="single"/>
              </w:rPr>
              <w:t>PERSONA RESPONSABLE</w:t>
            </w:r>
            <w:r w:rsidR="00845AF2" w:rsidRPr="00845AF2">
              <w:rPr>
                <w:rFonts w:cs="Times New Roman"/>
                <w:b/>
              </w:rPr>
              <w:t>.-</w:t>
            </w:r>
          </w:p>
          <w:p w14:paraId="2B663B68" w14:textId="77777777" w:rsidR="00E01C16" w:rsidRPr="00B5299A" w:rsidRDefault="004E1F02" w:rsidP="00D94580">
            <w:pPr>
              <w:rPr>
                <w:sz w:val="24"/>
                <w:szCs w:val="24"/>
              </w:rPr>
            </w:pPr>
            <w:r>
              <w:rPr>
                <w:sz w:val="24"/>
                <w:szCs w:val="24"/>
              </w:rPr>
              <w:t>DON LUIS CAYO PEREZ BUENO, PRESIDENTE</w:t>
            </w:r>
          </w:p>
          <w:p w14:paraId="0C01DB07" w14:textId="77777777" w:rsidR="00E01C16" w:rsidRPr="00B5299A" w:rsidRDefault="00E01C16" w:rsidP="00D94580">
            <w:pPr>
              <w:jc w:val="center"/>
              <w:rPr>
                <w:sz w:val="24"/>
                <w:szCs w:val="24"/>
              </w:rPr>
            </w:pPr>
          </w:p>
        </w:tc>
      </w:tr>
      <w:tr w:rsidR="00E01C16" w:rsidRPr="00B5299A" w14:paraId="767946B1" w14:textId="77777777" w:rsidTr="00845AF2">
        <w:trPr>
          <w:trHeight w:val="567"/>
        </w:trPr>
        <w:tc>
          <w:tcPr>
            <w:tcW w:w="9214" w:type="dxa"/>
          </w:tcPr>
          <w:p w14:paraId="2B14DFF7" w14:textId="77777777" w:rsidR="00E01C16" w:rsidRPr="00B5299A" w:rsidRDefault="00E01C16" w:rsidP="00D94580">
            <w:pPr>
              <w:rPr>
                <w:rFonts w:cs="Times New Roman"/>
                <w:b/>
                <w:u w:val="single"/>
              </w:rPr>
            </w:pPr>
            <w:r w:rsidRPr="00B5299A">
              <w:rPr>
                <w:rFonts w:cs="Times New Roman"/>
                <w:b/>
                <w:u w:val="single"/>
              </w:rPr>
              <w:t>PERSONA DE CONTACTO</w:t>
            </w:r>
            <w:r w:rsidR="00845AF2" w:rsidRPr="00845AF2">
              <w:rPr>
                <w:rFonts w:cs="Times New Roman"/>
                <w:b/>
              </w:rPr>
              <w:t>.-</w:t>
            </w:r>
          </w:p>
          <w:p w14:paraId="5AE0C2F9" w14:textId="50F32C94" w:rsidR="00E01C16" w:rsidRPr="00B5299A" w:rsidRDefault="00575767" w:rsidP="00E01C16">
            <w:pPr>
              <w:rPr>
                <w:sz w:val="24"/>
                <w:szCs w:val="24"/>
              </w:rPr>
            </w:pPr>
            <w:r>
              <w:rPr>
                <w:sz w:val="24"/>
                <w:szCs w:val="24"/>
              </w:rPr>
              <w:t>Ó</w:t>
            </w:r>
            <w:r w:rsidR="004E1F02">
              <w:rPr>
                <w:sz w:val="24"/>
                <w:szCs w:val="24"/>
              </w:rPr>
              <w:t>SCAR MORAL ORTEGA, ASESOR JURÍDICO</w:t>
            </w:r>
          </w:p>
          <w:p w14:paraId="7BA4A5CB" w14:textId="77777777" w:rsidR="00E01C16" w:rsidRPr="00B5299A" w:rsidRDefault="00E01C16" w:rsidP="00D94580">
            <w:pPr>
              <w:jc w:val="center"/>
              <w:rPr>
                <w:sz w:val="24"/>
                <w:szCs w:val="24"/>
              </w:rPr>
            </w:pPr>
          </w:p>
        </w:tc>
      </w:tr>
    </w:tbl>
    <w:p w14:paraId="2599EE83" w14:textId="77777777" w:rsidR="00EF1489" w:rsidRDefault="00EF1489" w:rsidP="00E01C16">
      <w:pPr>
        <w:spacing w:before="100" w:after="100" w:line="240" w:lineRule="auto"/>
        <w:jc w:val="center"/>
        <w:rPr>
          <w:b/>
          <w:i/>
          <w:sz w:val="24"/>
          <w:szCs w:val="24"/>
        </w:rPr>
      </w:pPr>
    </w:p>
    <w:p w14:paraId="1D5FD4F5" w14:textId="511298D5" w:rsidR="00E01C16" w:rsidRDefault="00575767" w:rsidP="00E01C16">
      <w:pPr>
        <w:spacing w:before="100" w:after="100" w:line="240" w:lineRule="auto"/>
        <w:jc w:val="center"/>
        <w:rPr>
          <w:b/>
          <w:i/>
          <w:sz w:val="24"/>
          <w:szCs w:val="24"/>
        </w:rPr>
      </w:pPr>
      <w:r>
        <w:rPr>
          <w:b/>
          <w:i/>
          <w:sz w:val="24"/>
          <w:szCs w:val="24"/>
        </w:rPr>
        <w:t>ÁMBITO JURÍ</w:t>
      </w:r>
      <w:r w:rsidR="00E01C16" w:rsidRPr="00B5299A">
        <w:rPr>
          <w:b/>
          <w:i/>
          <w:sz w:val="24"/>
          <w:szCs w:val="24"/>
        </w:rPr>
        <w:t>DICO</w:t>
      </w:r>
    </w:p>
    <w:p w14:paraId="00798BC8" w14:textId="77777777" w:rsidR="00EF1489" w:rsidRPr="00B5299A" w:rsidRDefault="00EF1489" w:rsidP="00E01C16">
      <w:pPr>
        <w:spacing w:before="100" w:after="100" w:line="240" w:lineRule="auto"/>
        <w:jc w:val="center"/>
        <w:rPr>
          <w:b/>
          <w:i/>
          <w:sz w:val="24"/>
          <w:szCs w:val="24"/>
        </w:rPr>
      </w:pPr>
    </w:p>
    <w:tbl>
      <w:tblPr>
        <w:tblStyle w:val="Tablaconcuadrcula"/>
        <w:tblW w:w="9214" w:type="dxa"/>
        <w:tblInd w:w="-459" w:type="dxa"/>
        <w:tblLook w:val="04A0" w:firstRow="1" w:lastRow="0" w:firstColumn="1" w:lastColumn="0" w:noHBand="0" w:noVBand="1"/>
      </w:tblPr>
      <w:tblGrid>
        <w:gridCol w:w="9214"/>
      </w:tblGrid>
      <w:tr w:rsidR="00E01C16" w:rsidRPr="00B5299A" w14:paraId="7C02DCB0" w14:textId="77777777" w:rsidTr="00845AF2">
        <w:trPr>
          <w:trHeight w:val="1304"/>
        </w:trPr>
        <w:tc>
          <w:tcPr>
            <w:tcW w:w="9214" w:type="dxa"/>
          </w:tcPr>
          <w:p w14:paraId="51F423CA" w14:textId="77777777" w:rsidR="00E01C16" w:rsidRPr="009C11BA" w:rsidRDefault="000E2D93" w:rsidP="000E2D93">
            <w:pPr>
              <w:rPr>
                <w:rFonts w:cs="Times New Roman"/>
                <w:b/>
              </w:rPr>
            </w:pPr>
            <w:r w:rsidRPr="009C11BA">
              <w:rPr>
                <w:rFonts w:cs="Times New Roman"/>
                <w:b/>
              </w:rPr>
              <w:t>¿CONSIDERA QUE EL BAREMO SANITARIO DEBE SER OBLIGATORIO U ORIENTATIVO? ¿POR QUÉ?</w:t>
            </w:r>
          </w:p>
          <w:p w14:paraId="1E0DD5B3" w14:textId="77777777" w:rsidR="00135AEA" w:rsidRDefault="00135AEA" w:rsidP="009C11BA">
            <w:pPr>
              <w:jc w:val="both"/>
              <w:rPr>
                <w:rFonts w:cs="Times New Roman"/>
                <w:bCs/>
              </w:rPr>
            </w:pPr>
          </w:p>
          <w:p w14:paraId="13CC06C0" w14:textId="3A501952" w:rsidR="000B45B6" w:rsidRPr="00756BC6" w:rsidRDefault="00334FEC" w:rsidP="009C11BA">
            <w:pPr>
              <w:jc w:val="both"/>
              <w:rPr>
                <w:rFonts w:ascii="Arial" w:hAnsi="Arial" w:cs="Times New Roman"/>
                <w:bCs/>
                <w:sz w:val="24"/>
                <w:szCs w:val="24"/>
              </w:rPr>
            </w:pPr>
            <w:r w:rsidRPr="00756BC6">
              <w:rPr>
                <w:rFonts w:ascii="Arial" w:hAnsi="Arial" w:cs="Times New Roman"/>
                <w:bCs/>
                <w:sz w:val="24"/>
                <w:szCs w:val="24"/>
              </w:rPr>
              <w:t>Es preciso</w:t>
            </w:r>
            <w:r w:rsidR="000B45B6" w:rsidRPr="00756BC6">
              <w:rPr>
                <w:rFonts w:ascii="Arial" w:hAnsi="Arial" w:cs="Times New Roman"/>
                <w:bCs/>
                <w:sz w:val="24"/>
                <w:szCs w:val="24"/>
              </w:rPr>
              <w:t xml:space="preserve"> </w:t>
            </w:r>
            <w:r w:rsidR="0008619F" w:rsidRPr="00756BC6">
              <w:rPr>
                <w:rFonts w:ascii="Arial" w:hAnsi="Arial" w:cs="Times New Roman"/>
                <w:bCs/>
                <w:sz w:val="24"/>
                <w:szCs w:val="24"/>
              </w:rPr>
              <w:t>un sistema de baremo</w:t>
            </w:r>
            <w:r w:rsidR="000B45B6" w:rsidRPr="00756BC6">
              <w:rPr>
                <w:rFonts w:ascii="Arial" w:hAnsi="Arial" w:cs="Times New Roman"/>
                <w:bCs/>
                <w:sz w:val="24"/>
                <w:szCs w:val="24"/>
              </w:rPr>
              <w:t xml:space="preserve"> </w:t>
            </w:r>
            <w:r w:rsidR="00465345">
              <w:rPr>
                <w:rFonts w:ascii="Arial" w:hAnsi="Arial" w:cs="Times New Roman"/>
                <w:bCs/>
                <w:sz w:val="24"/>
                <w:szCs w:val="24"/>
              </w:rPr>
              <w:t xml:space="preserve">de indemnización por daños </w:t>
            </w:r>
            <w:r w:rsidR="000B45B6" w:rsidRPr="00756BC6">
              <w:rPr>
                <w:rFonts w:ascii="Arial" w:hAnsi="Arial" w:cs="Times New Roman"/>
                <w:bCs/>
                <w:sz w:val="24"/>
                <w:szCs w:val="24"/>
              </w:rPr>
              <w:t>para</w:t>
            </w:r>
            <w:r w:rsidRPr="00756BC6">
              <w:rPr>
                <w:rFonts w:ascii="Arial" w:hAnsi="Arial" w:cs="Times New Roman"/>
                <w:bCs/>
                <w:sz w:val="24"/>
                <w:szCs w:val="24"/>
              </w:rPr>
              <w:t xml:space="preserve"> el ámbito san</w:t>
            </w:r>
            <w:r w:rsidRPr="00756BC6">
              <w:rPr>
                <w:rFonts w:ascii="Arial" w:hAnsi="Arial" w:cs="Times New Roman"/>
                <w:bCs/>
                <w:sz w:val="24"/>
                <w:szCs w:val="24"/>
              </w:rPr>
              <w:t>i</w:t>
            </w:r>
            <w:r w:rsidRPr="00756BC6">
              <w:rPr>
                <w:rFonts w:ascii="Arial" w:hAnsi="Arial" w:cs="Times New Roman"/>
                <w:bCs/>
                <w:sz w:val="24"/>
                <w:szCs w:val="24"/>
              </w:rPr>
              <w:t>tario que debe</w:t>
            </w:r>
            <w:r w:rsidR="000B45B6" w:rsidRPr="00756BC6">
              <w:rPr>
                <w:rFonts w:ascii="Arial" w:hAnsi="Arial" w:cs="Times New Roman"/>
                <w:bCs/>
                <w:sz w:val="24"/>
                <w:szCs w:val="24"/>
              </w:rPr>
              <w:t xml:space="preserve"> ser </w:t>
            </w:r>
            <w:r w:rsidRPr="00756BC6">
              <w:rPr>
                <w:rFonts w:ascii="Arial" w:hAnsi="Arial" w:cs="Times New Roman"/>
                <w:bCs/>
                <w:sz w:val="24"/>
                <w:szCs w:val="24"/>
              </w:rPr>
              <w:t>obligatorio</w:t>
            </w:r>
            <w:r w:rsidR="000B45B6" w:rsidRPr="00756BC6">
              <w:rPr>
                <w:rFonts w:ascii="Arial" w:hAnsi="Arial" w:cs="Times New Roman"/>
                <w:bCs/>
                <w:sz w:val="24"/>
                <w:szCs w:val="24"/>
              </w:rPr>
              <w:t>.</w:t>
            </w:r>
          </w:p>
          <w:p w14:paraId="152BBB9C" w14:textId="3F5E7AD8" w:rsidR="00464C70" w:rsidRDefault="005C60ED" w:rsidP="009C11BA">
            <w:pPr>
              <w:jc w:val="both"/>
              <w:rPr>
                <w:rFonts w:ascii="Arial" w:hAnsi="Arial" w:cs="Times New Roman"/>
                <w:bCs/>
                <w:sz w:val="24"/>
                <w:szCs w:val="24"/>
              </w:rPr>
            </w:pPr>
            <w:r w:rsidRPr="00756BC6">
              <w:rPr>
                <w:rFonts w:ascii="Arial" w:hAnsi="Arial" w:cs="Times New Roman"/>
                <w:bCs/>
                <w:sz w:val="24"/>
                <w:szCs w:val="24"/>
              </w:rPr>
              <w:t>De la misma forma que ha sido creado un sistema de indemnizaciones para las ví</w:t>
            </w:r>
            <w:r w:rsidRPr="00756BC6">
              <w:rPr>
                <w:rFonts w:ascii="Arial" w:hAnsi="Arial" w:cs="Times New Roman"/>
                <w:bCs/>
                <w:sz w:val="24"/>
                <w:szCs w:val="24"/>
              </w:rPr>
              <w:t>c</w:t>
            </w:r>
            <w:r w:rsidRPr="00756BC6">
              <w:rPr>
                <w:rFonts w:ascii="Arial" w:hAnsi="Arial" w:cs="Times New Roman"/>
                <w:bCs/>
                <w:sz w:val="24"/>
                <w:szCs w:val="24"/>
              </w:rPr>
              <w:t>timas de</w:t>
            </w:r>
            <w:r w:rsidR="00465345">
              <w:rPr>
                <w:rFonts w:ascii="Arial" w:hAnsi="Arial" w:cs="Times New Roman"/>
                <w:bCs/>
                <w:sz w:val="24"/>
                <w:szCs w:val="24"/>
              </w:rPr>
              <w:t xml:space="preserve"> los accidentes de tráfico, ha de</w:t>
            </w:r>
            <w:r w:rsidRPr="00756BC6">
              <w:rPr>
                <w:rFonts w:ascii="Arial" w:hAnsi="Arial" w:cs="Times New Roman"/>
                <w:bCs/>
                <w:sz w:val="24"/>
                <w:szCs w:val="24"/>
              </w:rPr>
              <w:t xml:space="preserve"> existir un sistema de indemnizaciones para los daños morales y patrimoniales que se produzcan en la práctica sanitaria.</w:t>
            </w:r>
          </w:p>
          <w:p w14:paraId="6465A551" w14:textId="77777777" w:rsidR="00756BC6" w:rsidRPr="00756BC6" w:rsidRDefault="00756BC6" w:rsidP="009C11BA">
            <w:pPr>
              <w:jc w:val="both"/>
              <w:rPr>
                <w:rFonts w:ascii="Arial" w:hAnsi="Arial" w:cs="Times New Roman"/>
                <w:bCs/>
                <w:sz w:val="24"/>
                <w:szCs w:val="24"/>
              </w:rPr>
            </w:pPr>
          </w:p>
          <w:p w14:paraId="49C90A91" w14:textId="290A89F6" w:rsidR="006E0A07" w:rsidRDefault="00465345" w:rsidP="009C11BA">
            <w:pPr>
              <w:jc w:val="both"/>
              <w:rPr>
                <w:rFonts w:ascii="Arial" w:hAnsi="Arial" w:cs="Times New Roman"/>
                <w:bCs/>
                <w:sz w:val="24"/>
                <w:szCs w:val="24"/>
              </w:rPr>
            </w:pPr>
            <w:r>
              <w:rPr>
                <w:rFonts w:ascii="Arial" w:hAnsi="Arial" w:cs="Times New Roman"/>
                <w:bCs/>
                <w:sz w:val="24"/>
                <w:szCs w:val="24"/>
              </w:rPr>
              <w:t>Se ha de crear</w:t>
            </w:r>
            <w:r w:rsidR="00A33C89" w:rsidRPr="00756BC6">
              <w:rPr>
                <w:rFonts w:ascii="Arial" w:hAnsi="Arial" w:cs="Times New Roman"/>
                <w:bCs/>
                <w:sz w:val="24"/>
                <w:szCs w:val="24"/>
              </w:rPr>
              <w:t xml:space="preserve"> un </w:t>
            </w:r>
            <w:r w:rsidR="00334FEC" w:rsidRPr="00756BC6">
              <w:rPr>
                <w:rFonts w:ascii="Arial" w:hAnsi="Arial" w:cs="Times New Roman"/>
                <w:bCs/>
                <w:sz w:val="24"/>
                <w:szCs w:val="24"/>
              </w:rPr>
              <w:t xml:space="preserve">baremo sanitario </w:t>
            </w:r>
            <w:r w:rsidR="00A33C89" w:rsidRPr="00756BC6">
              <w:rPr>
                <w:rFonts w:ascii="Arial" w:hAnsi="Arial" w:cs="Times New Roman"/>
                <w:bCs/>
                <w:sz w:val="24"/>
                <w:szCs w:val="24"/>
              </w:rPr>
              <w:t>que debería seguir en muchos puntos la regul</w:t>
            </w:r>
            <w:r w:rsidR="00A33C89" w:rsidRPr="00756BC6">
              <w:rPr>
                <w:rFonts w:ascii="Arial" w:hAnsi="Arial" w:cs="Times New Roman"/>
                <w:bCs/>
                <w:sz w:val="24"/>
                <w:szCs w:val="24"/>
              </w:rPr>
              <w:t>a</w:t>
            </w:r>
            <w:r w:rsidR="00A33C89" w:rsidRPr="00756BC6">
              <w:rPr>
                <w:rFonts w:ascii="Arial" w:hAnsi="Arial" w:cs="Times New Roman"/>
                <w:bCs/>
                <w:sz w:val="24"/>
                <w:szCs w:val="24"/>
              </w:rPr>
              <w:t xml:space="preserve">ción establecida en la Ley 35/2015 y que debería contar con el asesoramiento de las personas </w:t>
            </w:r>
            <w:r>
              <w:rPr>
                <w:rFonts w:ascii="Arial" w:hAnsi="Arial" w:cs="Times New Roman"/>
                <w:bCs/>
                <w:sz w:val="24"/>
                <w:szCs w:val="24"/>
              </w:rPr>
              <w:t xml:space="preserve">y sectores </w:t>
            </w:r>
            <w:r w:rsidR="00A33C89" w:rsidRPr="00756BC6">
              <w:rPr>
                <w:rFonts w:ascii="Arial" w:hAnsi="Arial" w:cs="Times New Roman"/>
                <w:bCs/>
                <w:sz w:val="24"/>
                <w:szCs w:val="24"/>
              </w:rPr>
              <w:t>que formaron la Comisión de Expertos de la citada Ley</w:t>
            </w:r>
            <w:r>
              <w:rPr>
                <w:rFonts w:ascii="Arial" w:hAnsi="Arial" w:cs="Times New Roman"/>
                <w:bCs/>
                <w:sz w:val="24"/>
                <w:szCs w:val="24"/>
              </w:rPr>
              <w:t>, e</w:t>
            </w:r>
            <w:r>
              <w:rPr>
                <w:rFonts w:ascii="Arial" w:hAnsi="Arial" w:cs="Times New Roman"/>
                <w:bCs/>
                <w:sz w:val="24"/>
                <w:szCs w:val="24"/>
              </w:rPr>
              <w:t>n</w:t>
            </w:r>
            <w:r>
              <w:rPr>
                <w:rFonts w:ascii="Arial" w:hAnsi="Arial" w:cs="Times New Roman"/>
                <w:bCs/>
                <w:sz w:val="24"/>
                <w:szCs w:val="24"/>
              </w:rPr>
              <w:t>tre ellos el de la discapacidad</w:t>
            </w:r>
            <w:r w:rsidR="006E0A07" w:rsidRPr="00756BC6">
              <w:rPr>
                <w:rFonts w:ascii="Arial" w:hAnsi="Arial" w:cs="Times New Roman"/>
                <w:bCs/>
                <w:sz w:val="24"/>
                <w:szCs w:val="24"/>
              </w:rPr>
              <w:t>.</w:t>
            </w:r>
          </w:p>
          <w:p w14:paraId="2A83F10A" w14:textId="77777777" w:rsidR="00756BC6" w:rsidRPr="00756BC6" w:rsidRDefault="00756BC6" w:rsidP="009C11BA">
            <w:pPr>
              <w:jc w:val="both"/>
              <w:rPr>
                <w:rFonts w:ascii="Arial" w:hAnsi="Arial" w:cs="Times New Roman"/>
                <w:bCs/>
                <w:sz w:val="24"/>
                <w:szCs w:val="24"/>
              </w:rPr>
            </w:pPr>
          </w:p>
          <w:p w14:paraId="40A72DAC" w14:textId="6322E5B4" w:rsidR="00A40680" w:rsidRDefault="00465345" w:rsidP="00A40680">
            <w:pPr>
              <w:jc w:val="both"/>
              <w:rPr>
                <w:rFonts w:ascii="Arial" w:hAnsi="Arial" w:cs="Times New Roman"/>
                <w:sz w:val="24"/>
                <w:szCs w:val="24"/>
              </w:rPr>
            </w:pPr>
            <w:r>
              <w:rPr>
                <w:rFonts w:ascii="Arial" w:hAnsi="Arial" w:cs="Times New Roman"/>
                <w:bCs/>
                <w:sz w:val="24"/>
                <w:szCs w:val="24"/>
              </w:rPr>
              <w:t>No es conveniente, y constituiría</w:t>
            </w:r>
            <w:r w:rsidR="006E0A07" w:rsidRPr="00756BC6">
              <w:rPr>
                <w:rFonts w:ascii="Arial" w:hAnsi="Arial" w:cs="Times New Roman"/>
                <w:bCs/>
                <w:sz w:val="24"/>
                <w:szCs w:val="24"/>
              </w:rPr>
              <w:t xml:space="preserve"> un grave problema jurídico, que se confeccione un baremo distinto en conceptos o en cuantías, pues </w:t>
            </w:r>
            <w:r w:rsidR="009C11BA" w:rsidRPr="00756BC6">
              <w:rPr>
                <w:rFonts w:ascii="Arial" w:hAnsi="Arial" w:cs="Times New Roman"/>
                <w:sz w:val="24"/>
                <w:szCs w:val="24"/>
              </w:rPr>
              <w:t>los perjuicios derivados del d</w:t>
            </w:r>
            <w:r w:rsidR="00464C70" w:rsidRPr="00756BC6">
              <w:rPr>
                <w:rFonts w:ascii="Arial" w:hAnsi="Arial" w:cs="Times New Roman"/>
                <w:sz w:val="24"/>
                <w:szCs w:val="24"/>
              </w:rPr>
              <w:t>a</w:t>
            </w:r>
            <w:r w:rsidR="009C11BA" w:rsidRPr="00756BC6">
              <w:rPr>
                <w:rFonts w:ascii="Arial" w:hAnsi="Arial" w:cs="Times New Roman"/>
                <w:sz w:val="24"/>
                <w:szCs w:val="24"/>
              </w:rPr>
              <w:t>ño corporal</w:t>
            </w:r>
            <w:r w:rsidR="006E0A07" w:rsidRPr="00756BC6">
              <w:rPr>
                <w:rFonts w:ascii="Arial" w:hAnsi="Arial" w:cs="Times New Roman"/>
                <w:sz w:val="24"/>
                <w:szCs w:val="24"/>
              </w:rPr>
              <w:t xml:space="preserve"> deben ser correctamente indemnizados sea cual sea el hecho </w:t>
            </w:r>
            <w:r w:rsidR="009C11BA" w:rsidRPr="00756BC6">
              <w:rPr>
                <w:rFonts w:ascii="Arial" w:hAnsi="Arial" w:cs="Times New Roman"/>
                <w:sz w:val="24"/>
                <w:szCs w:val="24"/>
              </w:rPr>
              <w:t xml:space="preserve">que lo ha ocasionado. </w:t>
            </w:r>
          </w:p>
          <w:p w14:paraId="22C2D398" w14:textId="77777777" w:rsidR="00756BC6" w:rsidRPr="00756BC6" w:rsidRDefault="00756BC6" w:rsidP="00A40680">
            <w:pPr>
              <w:jc w:val="both"/>
              <w:rPr>
                <w:rFonts w:ascii="Arial" w:hAnsi="Arial" w:cs="Times New Roman"/>
                <w:sz w:val="24"/>
                <w:szCs w:val="24"/>
              </w:rPr>
            </w:pPr>
          </w:p>
          <w:p w14:paraId="689006E2" w14:textId="77777777" w:rsidR="00A40680" w:rsidRPr="00756BC6" w:rsidRDefault="00334FEC" w:rsidP="00A40680">
            <w:pPr>
              <w:jc w:val="both"/>
              <w:rPr>
                <w:rFonts w:ascii="Arial" w:hAnsi="Arial" w:cs="Times New Roman"/>
                <w:sz w:val="24"/>
                <w:szCs w:val="24"/>
              </w:rPr>
            </w:pPr>
            <w:r w:rsidRPr="00756BC6">
              <w:rPr>
                <w:rFonts w:ascii="Arial" w:hAnsi="Arial" w:cs="Times New Roman"/>
                <w:sz w:val="24"/>
                <w:szCs w:val="24"/>
              </w:rPr>
              <w:lastRenderedPageBreak/>
              <w:t xml:space="preserve">Desde el CERMI entendemos que se debe </w:t>
            </w:r>
            <w:r w:rsidR="00DA56A7" w:rsidRPr="00756BC6">
              <w:rPr>
                <w:rFonts w:ascii="Arial" w:hAnsi="Arial" w:cs="Times New Roman"/>
                <w:sz w:val="24"/>
                <w:szCs w:val="24"/>
              </w:rPr>
              <w:t xml:space="preserve">unificar en un único </w:t>
            </w:r>
            <w:r w:rsidR="009C11BA" w:rsidRPr="00756BC6">
              <w:rPr>
                <w:rFonts w:ascii="Arial" w:hAnsi="Arial" w:cs="Times New Roman"/>
                <w:sz w:val="24"/>
                <w:szCs w:val="24"/>
              </w:rPr>
              <w:t>sistema de valor</w:t>
            </w:r>
            <w:r w:rsidR="009C11BA" w:rsidRPr="00756BC6">
              <w:rPr>
                <w:rFonts w:ascii="Arial" w:hAnsi="Arial" w:cs="Times New Roman"/>
                <w:sz w:val="24"/>
                <w:szCs w:val="24"/>
              </w:rPr>
              <w:t>a</w:t>
            </w:r>
            <w:r w:rsidR="009C11BA" w:rsidRPr="00756BC6">
              <w:rPr>
                <w:rFonts w:ascii="Arial" w:hAnsi="Arial" w:cs="Times New Roman"/>
                <w:sz w:val="24"/>
                <w:szCs w:val="24"/>
              </w:rPr>
              <w:t>ción del daño co</w:t>
            </w:r>
            <w:r w:rsidR="00464C70" w:rsidRPr="00756BC6">
              <w:rPr>
                <w:rFonts w:ascii="Arial" w:hAnsi="Arial" w:cs="Times New Roman"/>
                <w:sz w:val="24"/>
                <w:szCs w:val="24"/>
              </w:rPr>
              <w:t>r</w:t>
            </w:r>
            <w:r w:rsidR="009C11BA" w:rsidRPr="00756BC6">
              <w:rPr>
                <w:rFonts w:ascii="Arial" w:hAnsi="Arial" w:cs="Times New Roman"/>
                <w:sz w:val="24"/>
                <w:szCs w:val="24"/>
              </w:rPr>
              <w:t>poral</w:t>
            </w:r>
            <w:r w:rsidR="00464C70" w:rsidRPr="00756BC6">
              <w:rPr>
                <w:rFonts w:ascii="Arial" w:hAnsi="Arial" w:cs="Times New Roman"/>
                <w:sz w:val="24"/>
                <w:szCs w:val="24"/>
              </w:rPr>
              <w:t>, de carácter obligatorio</w:t>
            </w:r>
            <w:r w:rsidR="00A40680" w:rsidRPr="00756BC6">
              <w:rPr>
                <w:rFonts w:ascii="Arial" w:hAnsi="Arial" w:cs="Times New Roman"/>
                <w:sz w:val="24"/>
                <w:szCs w:val="24"/>
              </w:rPr>
              <w:t>,</w:t>
            </w:r>
            <w:r w:rsidR="00464C70" w:rsidRPr="00756BC6">
              <w:rPr>
                <w:rFonts w:ascii="Arial" w:hAnsi="Arial" w:cs="Times New Roman"/>
                <w:sz w:val="24"/>
                <w:szCs w:val="24"/>
              </w:rPr>
              <w:t xml:space="preserve"> pero con una cierta flexibilidad</w:t>
            </w:r>
            <w:r w:rsidR="00DA56A7" w:rsidRPr="00756BC6">
              <w:rPr>
                <w:rFonts w:ascii="Arial" w:hAnsi="Arial" w:cs="Times New Roman"/>
                <w:sz w:val="24"/>
                <w:szCs w:val="24"/>
              </w:rPr>
              <w:t xml:space="preserve"> y pa</w:t>
            </w:r>
            <w:r w:rsidR="00DA56A7" w:rsidRPr="00756BC6">
              <w:rPr>
                <w:rFonts w:ascii="Arial" w:hAnsi="Arial" w:cs="Times New Roman"/>
                <w:sz w:val="24"/>
                <w:szCs w:val="24"/>
              </w:rPr>
              <w:t>r</w:t>
            </w:r>
            <w:r w:rsidR="00DA56A7" w:rsidRPr="00756BC6">
              <w:rPr>
                <w:rFonts w:ascii="Arial" w:hAnsi="Arial" w:cs="Times New Roman"/>
                <w:sz w:val="24"/>
                <w:szCs w:val="24"/>
              </w:rPr>
              <w:t xml:space="preserve">ticularidades para el tema </w:t>
            </w:r>
            <w:r w:rsidR="00C07F2E" w:rsidRPr="00756BC6">
              <w:rPr>
                <w:rFonts w:ascii="Arial" w:hAnsi="Arial" w:cs="Times New Roman"/>
                <w:sz w:val="24"/>
                <w:szCs w:val="24"/>
              </w:rPr>
              <w:t>del daño producido en el ámbito sanitario</w:t>
            </w:r>
            <w:r w:rsidR="00A40680" w:rsidRPr="00756BC6">
              <w:rPr>
                <w:rFonts w:ascii="Arial" w:hAnsi="Arial" w:cs="Times New Roman"/>
                <w:sz w:val="24"/>
                <w:szCs w:val="24"/>
              </w:rPr>
              <w:t>.</w:t>
            </w:r>
          </w:p>
          <w:p w14:paraId="4CD31131" w14:textId="77777777" w:rsidR="00465345" w:rsidRDefault="00465345" w:rsidP="0073106E">
            <w:pPr>
              <w:jc w:val="both"/>
              <w:rPr>
                <w:rFonts w:ascii="Arial" w:hAnsi="Arial" w:cs="Times New Roman"/>
                <w:sz w:val="24"/>
                <w:szCs w:val="24"/>
              </w:rPr>
            </w:pPr>
          </w:p>
          <w:p w14:paraId="55A77440" w14:textId="463CFD48" w:rsidR="00FD71D0" w:rsidRDefault="00C07F2E" w:rsidP="00FD71D0">
            <w:pPr>
              <w:jc w:val="both"/>
              <w:rPr>
                <w:rFonts w:ascii="Arial" w:hAnsi="Arial" w:cs="Times New Roman"/>
                <w:sz w:val="24"/>
                <w:szCs w:val="24"/>
              </w:rPr>
            </w:pPr>
            <w:r w:rsidRPr="00756BC6">
              <w:rPr>
                <w:rFonts w:ascii="Arial" w:hAnsi="Arial" w:cs="Times New Roman"/>
                <w:sz w:val="24"/>
                <w:szCs w:val="24"/>
              </w:rPr>
              <w:t xml:space="preserve">Es evidente que pueden existir unas diferentes reglas sustantivas </w:t>
            </w:r>
            <w:r w:rsidR="0073106E" w:rsidRPr="00756BC6">
              <w:rPr>
                <w:rFonts w:ascii="Arial" w:hAnsi="Arial" w:cs="Times New Roman"/>
                <w:sz w:val="24"/>
                <w:szCs w:val="24"/>
              </w:rPr>
              <w:t>para el establec</w:t>
            </w:r>
            <w:r w:rsidR="0073106E" w:rsidRPr="00756BC6">
              <w:rPr>
                <w:rFonts w:ascii="Arial" w:hAnsi="Arial" w:cs="Times New Roman"/>
                <w:sz w:val="24"/>
                <w:szCs w:val="24"/>
              </w:rPr>
              <w:t>i</w:t>
            </w:r>
            <w:r w:rsidR="0073106E" w:rsidRPr="00756BC6">
              <w:rPr>
                <w:rFonts w:ascii="Arial" w:hAnsi="Arial" w:cs="Times New Roman"/>
                <w:sz w:val="24"/>
                <w:szCs w:val="24"/>
              </w:rPr>
              <w:t>miento de la responsabilidad civil sanitaria, y tratar de la misma forma los hechos ocurridos en el ámbito de la sanidad pública y en el ámbito de la sanidad privada.</w:t>
            </w:r>
            <w:r w:rsidR="00465345">
              <w:rPr>
                <w:rFonts w:ascii="Arial" w:hAnsi="Arial" w:cs="Times New Roman"/>
                <w:sz w:val="24"/>
                <w:szCs w:val="24"/>
              </w:rPr>
              <w:t xml:space="preserve"> </w:t>
            </w:r>
            <w:r w:rsidR="00FD71D0" w:rsidRPr="00756BC6">
              <w:rPr>
                <w:rFonts w:ascii="Arial" w:hAnsi="Arial" w:cs="Times New Roman"/>
                <w:sz w:val="24"/>
                <w:szCs w:val="24"/>
              </w:rPr>
              <w:t>No pueden existir varios baremos para las mismas lesiones en función del hecho que las origina.</w:t>
            </w:r>
          </w:p>
          <w:p w14:paraId="273C2239" w14:textId="77777777" w:rsidR="00756BC6" w:rsidRPr="00756BC6" w:rsidRDefault="00756BC6" w:rsidP="00FD71D0">
            <w:pPr>
              <w:jc w:val="both"/>
              <w:rPr>
                <w:rFonts w:ascii="Arial" w:hAnsi="Arial" w:cs="Times New Roman"/>
                <w:sz w:val="24"/>
                <w:szCs w:val="24"/>
              </w:rPr>
            </w:pPr>
          </w:p>
          <w:p w14:paraId="1423A713" w14:textId="77777777" w:rsidR="00FD71D0" w:rsidRDefault="00FD71D0" w:rsidP="00FD71D0">
            <w:pPr>
              <w:jc w:val="both"/>
              <w:rPr>
                <w:rFonts w:ascii="Arial" w:hAnsi="Arial" w:cs="Times New Roman"/>
                <w:sz w:val="24"/>
                <w:szCs w:val="24"/>
              </w:rPr>
            </w:pPr>
            <w:r w:rsidRPr="00756BC6">
              <w:rPr>
                <w:rFonts w:ascii="Arial" w:hAnsi="Arial" w:cs="Times New Roman"/>
                <w:sz w:val="24"/>
                <w:szCs w:val="24"/>
              </w:rPr>
              <w:t>Debe ampliarse el baremo médico de la Ley 35/2015 añadiendo daños y lesiones que son específicas del ámbito sanitario.</w:t>
            </w:r>
          </w:p>
          <w:p w14:paraId="48F99A6E" w14:textId="77777777" w:rsidR="00756BC6" w:rsidRPr="00756BC6" w:rsidRDefault="00756BC6" w:rsidP="00FD71D0">
            <w:pPr>
              <w:jc w:val="both"/>
              <w:rPr>
                <w:rFonts w:ascii="Arial" w:hAnsi="Arial" w:cs="Times New Roman"/>
                <w:sz w:val="24"/>
                <w:szCs w:val="24"/>
              </w:rPr>
            </w:pPr>
          </w:p>
          <w:p w14:paraId="0184F18A" w14:textId="77777777" w:rsidR="00EF1489" w:rsidRDefault="00FD71D0" w:rsidP="00FD71D0">
            <w:pPr>
              <w:jc w:val="both"/>
              <w:rPr>
                <w:rFonts w:ascii="Arial" w:hAnsi="Arial" w:cs="Times New Roman"/>
                <w:sz w:val="24"/>
                <w:szCs w:val="24"/>
              </w:rPr>
            </w:pPr>
            <w:r w:rsidRPr="00756BC6">
              <w:rPr>
                <w:rFonts w:ascii="Arial" w:hAnsi="Arial" w:cs="Times New Roman"/>
                <w:sz w:val="24"/>
                <w:szCs w:val="24"/>
              </w:rPr>
              <w:t>Las cuestiones sustantivas que no son temas de valoración, sino de responsabilidad civil médica, necesitan la intervención del Ministerio de Justicia.</w:t>
            </w:r>
          </w:p>
          <w:p w14:paraId="36CD45FD" w14:textId="77777777" w:rsidR="00756BC6" w:rsidRPr="009C11BA" w:rsidRDefault="00756BC6" w:rsidP="00FD71D0">
            <w:pPr>
              <w:jc w:val="both"/>
              <w:rPr>
                <w:rFonts w:cs="Times New Roman"/>
                <w:bCs/>
              </w:rPr>
            </w:pPr>
          </w:p>
        </w:tc>
      </w:tr>
      <w:tr w:rsidR="00E01C16" w:rsidRPr="00B5299A" w14:paraId="6BBF5893" w14:textId="77777777" w:rsidTr="00845AF2">
        <w:trPr>
          <w:trHeight w:val="1304"/>
        </w:trPr>
        <w:tc>
          <w:tcPr>
            <w:tcW w:w="9214" w:type="dxa"/>
          </w:tcPr>
          <w:p w14:paraId="14D94DB7" w14:textId="77777777" w:rsidR="00E01C16" w:rsidRDefault="000E2D93" w:rsidP="00D94580">
            <w:pPr>
              <w:rPr>
                <w:rFonts w:cs="Times New Roman"/>
                <w:b/>
              </w:rPr>
            </w:pPr>
            <w:r w:rsidRPr="00B5299A">
              <w:rPr>
                <w:rFonts w:cs="Times New Roman"/>
                <w:b/>
              </w:rPr>
              <w:lastRenderedPageBreak/>
              <w:t>¿CONSIDERA QUE SE DEBE INCLUIR LA CUANTIFICACIÓN DEL DAÑO MORAL</w:t>
            </w:r>
            <w:r w:rsidR="00625FCE" w:rsidRPr="00B5299A">
              <w:rPr>
                <w:rFonts w:cs="Times New Roman"/>
                <w:b/>
              </w:rPr>
              <w:t>? ¿</w:t>
            </w:r>
            <w:r w:rsidRPr="00B5299A">
              <w:rPr>
                <w:rFonts w:cs="Times New Roman"/>
                <w:b/>
              </w:rPr>
              <w:t>CÓMO?</w:t>
            </w:r>
          </w:p>
          <w:p w14:paraId="6F873008" w14:textId="77777777" w:rsidR="00FA6EB9" w:rsidRDefault="00FA6EB9" w:rsidP="002854A3">
            <w:pPr>
              <w:jc w:val="both"/>
              <w:rPr>
                <w:rFonts w:cs="Times New Roman"/>
                <w:bCs/>
              </w:rPr>
            </w:pPr>
          </w:p>
          <w:p w14:paraId="304A98D8" w14:textId="66E00AB3" w:rsidR="0073106E" w:rsidRDefault="00756BC6" w:rsidP="002854A3">
            <w:pPr>
              <w:jc w:val="both"/>
              <w:rPr>
                <w:rFonts w:ascii="Arial" w:hAnsi="Arial" w:cs="Times New Roman"/>
                <w:bCs/>
                <w:sz w:val="24"/>
                <w:szCs w:val="24"/>
              </w:rPr>
            </w:pPr>
            <w:r>
              <w:rPr>
                <w:rFonts w:ascii="Arial" w:hAnsi="Arial" w:cs="Times New Roman"/>
                <w:bCs/>
                <w:sz w:val="24"/>
                <w:szCs w:val="24"/>
              </w:rPr>
              <w:t>E</w:t>
            </w:r>
            <w:r w:rsidRPr="00756BC6">
              <w:rPr>
                <w:rFonts w:ascii="Arial" w:hAnsi="Arial" w:cs="Times New Roman"/>
                <w:bCs/>
                <w:sz w:val="24"/>
                <w:szCs w:val="24"/>
              </w:rPr>
              <w:t>s evidente que debe incluirse la cuantificación del daño moral y la cuantificación del daño patrimonial que se puede ocasionar a una víctima por daños corporales derivados de la práctica sanitaria, de la misma forma que exi</w:t>
            </w:r>
            <w:r w:rsidR="00465345">
              <w:rPr>
                <w:rFonts w:ascii="Arial" w:hAnsi="Arial" w:cs="Times New Roman"/>
                <w:bCs/>
                <w:sz w:val="24"/>
                <w:szCs w:val="24"/>
              </w:rPr>
              <w:t>ste dicha diferenciación en la L</w:t>
            </w:r>
            <w:r w:rsidRPr="00756BC6">
              <w:rPr>
                <w:rFonts w:ascii="Arial" w:hAnsi="Arial" w:cs="Times New Roman"/>
                <w:bCs/>
                <w:sz w:val="24"/>
                <w:szCs w:val="24"/>
              </w:rPr>
              <w:t>ey 35/2015.</w:t>
            </w:r>
          </w:p>
          <w:p w14:paraId="26C38C92" w14:textId="77777777" w:rsidR="00756BC6" w:rsidRPr="00756BC6" w:rsidRDefault="00756BC6" w:rsidP="002854A3">
            <w:pPr>
              <w:jc w:val="both"/>
              <w:rPr>
                <w:rFonts w:ascii="Arial" w:hAnsi="Arial" w:cs="Times New Roman"/>
                <w:bCs/>
                <w:sz w:val="24"/>
                <w:szCs w:val="24"/>
              </w:rPr>
            </w:pPr>
          </w:p>
          <w:p w14:paraId="38D66CB6" w14:textId="34FC9BBB" w:rsidR="00BF0EB4" w:rsidRDefault="00756BC6" w:rsidP="00BF0EB4">
            <w:pPr>
              <w:jc w:val="both"/>
              <w:rPr>
                <w:rFonts w:ascii="Arial" w:hAnsi="Arial" w:cs="Times New Roman"/>
                <w:bCs/>
                <w:sz w:val="24"/>
                <w:szCs w:val="24"/>
              </w:rPr>
            </w:pPr>
            <w:r>
              <w:rPr>
                <w:rFonts w:ascii="Arial" w:hAnsi="Arial" w:cs="Times New Roman"/>
                <w:bCs/>
                <w:sz w:val="24"/>
                <w:szCs w:val="24"/>
              </w:rPr>
              <w:t>Valoramos</w:t>
            </w:r>
            <w:r w:rsidRPr="00756BC6">
              <w:rPr>
                <w:rFonts w:ascii="Arial" w:hAnsi="Arial" w:cs="Times New Roman"/>
                <w:bCs/>
                <w:sz w:val="24"/>
                <w:szCs w:val="24"/>
              </w:rPr>
              <w:t xml:space="preserve"> que debe utilizarse un sistema idéntico al de la citada regulación ley 35/2015, basado el daño moral en el cálculo de lesiones temporales y secuelas (puntos de secuelas funcionales y de secuelas estéticas), incluyendo un baremo médico, que traduce las secuelas en puntos, y un baremo económico, que transfo</w:t>
            </w:r>
            <w:r w:rsidRPr="00756BC6">
              <w:rPr>
                <w:rFonts w:ascii="Arial" w:hAnsi="Arial" w:cs="Times New Roman"/>
                <w:bCs/>
                <w:sz w:val="24"/>
                <w:szCs w:val="24"/>
              </w:rPr>
              <w:t>r</w:t>
            </w:r>
            <w:r w:rsidRPr="00756BC6">
              <w:rPr>
                <w:rFonts w:ascii="Arial" w:hAnsi="Arial" w:cs="Times New Roman"/>
                <w:bCs/>
                <w:sz w:val="24"/>
                <w:szCs w:val="24"/>
              </w:rPr>
              <w:t xml:space="preserve">ma los puntos en </w:t>
            </w:r>
            <w:r w:rsidR="00465345">
              <w:rPr>
                <w:rFonts w:ascii="Arial" w:hAnsi="Arial" w:cs="Times New Roman"/>
                <w:bCs/>
                <w:sz w:val="24"/>
                <w:szCs w:val="24"/>
              </w:rPr>
              <w:t>unidades monetarias en curso (</w:t>
            </w:r>
            <w:r w:rsidRPr="00756BC6">
              <w:rPr>
                <w:rFonts w:ascii="Arial" w:hAnsi="Arial" w:cs="Times New Roman"/>
                <w:bCs/>
                <w:sz w:val="24"/>
                <w:szCs w:val="24"/>
              </w:rPr>
              <w:t>euros</w:t>
            </w:r>
            <w:r w:rsidR="00465345">
              <w:rPr>
                <w:rFonts w:ascii="Arial" w:hAnsi="Arial" w:cs="Times New Roman"/>
                <w:bCs/>
                <w:sz w:val="24"/>
                <w:szCs w:val="24"/>
              </w:rPr>
              <w:t>)</w:t>
            </w:r>
            <w:r w:rsidRPr="00756BC6">
              <w:rPr>
                <w:rFonts w:ascii="Arial" w:hAnsi="Arial" w:cs="Times New Roman"/>
                <w:bCs/>
                <w:sz w:val="24"/>
                <w:szCs w:val="24"/>
              </w:rPr>
              <w:t>.</w:t>
            </w:r>
          </w:p>
          <w:p w14:paraId="10DBB7ED" w14:textId="77777777" w:rsidR="00756BC6" w:rsidRPr="00756BC6" w:rsidRDefault="00756BC6" w:rsidP="00BF0EB4">
            <w:pPr>
              <w:jc w:val="both"/>
              <w:rPr>
                <w:rFonts w:ascii="Arial" w:hAnsi="Arial" w:cs="Times New Roman"/>
                <w:bCs/>
                <w:sz w:val="24"/>
                <w:szCs w:val="24"/>
              </w:rPr>
            </w:pPr>
          </w:p>
          <w:p w14:paraId="15155E95" w14:textId="0F80BD5D" w:rsidR="00E01C16" w:rsidRDefault="00C95CFD" w:rsidP="00BF0EB4">
            <w:pPr>
              <w:jc w:val="both"/>
              <w:rPr>
                <w:rFonts w:ascii="Arial" w:hAnsi="Arial" w:cs="Times New Roman"/>
                <w:bCs/>
                <w:sz w:val="24"/>
                <w:szCs w:val="24"/>
              </w:rPr>
            </w:pPr>
            <w:r>
              <w:rPr>
                <w:rFonts w:ascii="Arial" w:hAnsi="Arial" w:cs="Times New Roman"/>
                <w:bCs/>
                <w:sz w:val="24"/>
                <w:szCs w:val="24"/>
              </w:rPr>
              <w:t xml:space="preserve">Por otra parte, </w:t>
            </w:r>
            <w:r w:rsidR="00756BC6" w:rsidRPr="00756BC6">
              <w:rPr>
                <w:rFonts w:ascii="Arial" w:hAnsi="Arial" w:cs="Times New Roman"/>
                <w:bCs/>
                <w:sz w:val="24"/>
                <w:szCs w:val="24"/>
              </w:rPr>
              <w:t>además de existir un perjuicio moral básico, que debe ser el mismo para una misma secuela cuando estamos ante una persona de la misma edad, d</w:t>
            </w:r>
            <w:r w:rsidR="00756BC6" w:rsidRPr="00756BC6">
              <w:rPr>
                <w:rFonts w:ascii="Arial" w:hAnsi="Arial" w:cs="Times New Roman"/>
                <w:bCs/>
                <w:sz w:val="24"/>
                <w:szCs w:val="24"/>
              </w:rPr>
              <w:t>e</w:t>
            </w:r>
            <w:r w:rsidR="00756BC6" w:rsidRPr="00756BC6">
              <w:rPr>
                <w:rFonts w:ascii="Arial" w:hAnsi="Arial" w:cs="Times New Roman"/>
                <w:bCs/>
                <w:sz w:val="24"/>
                <w:szCs w:val="24"/>
              </w:rPr>
              <w:t>be existir un perjuicio moral particular, donde se debe tener en cuenta las activid</w:t>
            </w:r>
            <w:r w:rsidR="00756BC6" w:rsidRPr="00756BC6">
              <w:rPr>
                <w:rFonts w:ascii="Arial" w:hAnsi="Arial" w:cs="Times New Roman"/>
                <w:bCs/>
                <w:sz w:val="24"/>
                <w:szCs w:val="24"/>
              </w:rPr>
              <w:t>a</w:t>
            </w:r>
            <w:r w:rsidR="00756BC6" w:rsidRPr="00756BC6">
              <w:rPr>
                <w:rFonts w:ascii="Arial" w:hAnsi="Arial" w:cs="Times New Roman"/>
                <w:bCs/>
                <w:sz w:val="24"/>
                <w:szCs w:val="24"/>
              </w:rPr>
              <w:t>des que la víctima realizaba antes de producirse el hecho lesivo, que en nuestra legislación de accidente de tráfico se conoce como pérdida de calidad de vida, y donde se debe tener en cuenta la afectación que las secuelas pueden producir tanto en las actividades esenciales de la vida diaria como en las actividades específicas de desarrollo personal.</w:t>
            </w:r>
          </w:p>
          <w:p w14:paraId="58ED413F" w14:textId="77777777" w:rsidR="00C95CFD" w:rsidRPr="00756BC6" w:rsidRDefault="00C95CFD" w:rsidP="00BF0EB4">
            <w:pPr>
              <w:jc w:val="both"/>
              <w:rPr>
                <w:rFonts w:ascii="Arial" w:hAnsi="Arial" w:cs="Times New Roman"/>
                <w:bCs/>
                <w:sz w:val="24"/>
                <w:szCs w:val="24"/>
              </w:rPr>
            </w:pPr>
          </w:p>
          <w:p w14:paraId="6FDA3326" w14:textId="47C854C4" w:rsidR="004E0393" w:rsidRDefault="00C95CFD" w:rsidP="002854A3">
            <w:pPr>
              <w:jc w:val="both"/>
              <w:rPr>
                <w:rFonts w:ascii="Arial" w:hAnsi="Arial" w:cs="Times New Roman"/>
                <w:bCs/>
                <w:sz w:val="24"/>
                <w:szCs w:val="24"/>
              </w:rPr>
            </w:pPr>
            <w:r>
              <w:rPr>
                <w:rFonts w:ascii="Arial" w:hAnsi="Arial" w:cs="Times New Roman"/>
                <w:bCs/>
                <w:sz w:val="24"/>
                <w:szCs w:val="24"/>
              </w:rPr>
              <w:t>D</w:t>
            </w:r>
            <w:r w:rsidR="00756BC6" w:rsidRPr="00756BC6">
              <w:rPr>
                <w:rFonts w:ascii="Arial" w:hAnsi="Arial" w:cs="Times New Roman"/>
                <w:bCs/>
                <w:sz w:val="24"/>
                <w:szCs w:val="24"/>
              </w:rPr>
              <w:t>eben fijarse unas indemnizaciones por daño moral que sean idénticas a las est</w:t>
            </w:r>
            <w:r w:rsidR="00756BC6" w:rsidRPr="00756BC6">
              <w:rPr>
                <w:rFonts w:ascii="Arial" w:hAnsi="Arial" w:cs="Times New Roman"/>
                <w:bCs/>
                <w:sz w:val="24"/>
                <w:szCs w:val="24"/>
              </w:rPr>
              <w:t>a</w:t>
            </w:r>
            <w:r w:rsidR="00465345">
              <w:rPr>
                <w:rFonts w:ascii="Arial" w:hAnsi="Arial" w:cs="Times New Roman"/>
                <w:bCs/>
                <w:sz w:val="24"/>
                <w:szCs w:val="24"/>
              </w:rPr>
              <w:t>blecidas en la L</w:t>
            </w:r>
            <w:r w:rsidR="00756BC6" w:rsidRPr="00756BC6">
              <w:rPr>
                <w:rFonts w:ascii="Arial" w:hAnsi="Arial" w:cs="Times New Roman"/>
                <w:bCs/>
                <w:sz w:val="24"/>
                <w:szCs w:val="24"/>
              </w:rPr>
              <w:t>ey 35/2015, pues no se puede compensar de una forma distinta s</w:t>
            </w:r>
            <w:r w:rsidR="00756BC6" w:rsidRPr="00756BC6">
              <w:rPr>
                <w:rFonts w:ascii="Arial" w:hAnsi="Arial" w:cs="Times New Roman"/>
                <w:bCs/>
                <w:sz w:val="24"/>
                <w:szCs w:val="24"/>
              </w:rPr>
              <w:t>i</w:t>
            </w:r>
            <w:r w:rsidR="00756BC6" w:rsidRPr="00756BC6">
              <w:rPr>
                <w:rFonts w:ascii="Arial" w:hAnsi="Arial" w:cs="Times New Roman"/>
                <w:bCs/>
                <w:sz w:val="24"/>
                <w:szCs w:val="24"/>
              </w:rPr>
              <w:t>tuaciones idénticas para una víctima se haya producido su daño corporal en un a</w:t>
            </w:r>
            <w:r w:rsidR="00756BC6" w:rsidRPr="00756BC6">
              <w:rPr>
                <w:rFonts w:ascii="Arial" w:hAnsi="Arial" w:cs="Times New Roman"/>
                <w:bCs/>
                <w:sz w:val="24"/>
                <w:szCs w:val="24"/>
              </w:rPr>
              <w:t>c</w:t>
            </w:r>
            <w:r w:rsidR="00756BC6" w:rsidRPr="00756BC6">
              <w:rPr>
                <w:rFonts w:ascii="Arial" w:hAnsi="Arial" w:cs="Times New Roman"/>
                <w:bCs/>
                <w:sz w:val="24"/>
                <w:szCs w:val="24"/>
              </w:rPr>
              <w:t>cidente de tráfico o en una praxis inadecuada.</w:t>
            </w:r>
          </w:p>
          <w:p w14:paraId="10CB031B" w14:textId="77777777" w:rsidR="00C95CFD" w:rsidRPr="00756BC6" w:rsidRDefault="00C95CFD" w:rsidP="002854A3">
            <w:pPr>
              <w:jc w:val="both"/>
              <w:rPr>
                <w:rFonts w:ascii="Arial" w:hAnsi="Arial" w:cs="Times New Roman"/>
                <w:bCs/>
                <w:sz w:val="24"/>
                <w:szCs w:val="24"/>
              </w:rPr>
            </w:pPr>
          </w:p>
          <w:p w14:paraId="20E91B6A" w14:textId="2BE703A5" w:rsidR="001D5B85" w:rsidRDefault="00C95CFD" w:rsidP="002854A3">
            <w:pPr>
              <w:jc w:val="both"/>
              <w:rPr>
                <w:rFonts w:ascii="Arial" w:hAnsi="Arial" w:cs="Times New Roman"/>
                <w:sz w:val="24"/>
                <w:szCs w:val="24"/>
              </w:rPr>
            </w:pPr>
            <w:r>
              <w:rPr>
                <w:rFonts w:ascii="Arial" w:hAnsi="Arial" w:cs="Times New Roman"/>
                <w:sz w:val="24"/>
                <w:szCs w:val="24"/>
              </w:rPr>
              <w:t>P</w:t>
            </w:r>
            <w:r w:rsidR="00756BC6" w:rsidRPr="00756BC6">
              <w:rPr>
                <w:rFonts w:ascii="Arial" w:hAnsi="Arial" w:cs="Times New Roman"/>
                <w:sz w:val="24"/>
                <w:szCs w:val="24"/>
              </w:rPr>
              <w:t>or lo tanto</w:t>
            </w:r>
            <w:r>
              <w:rPr>
                <w:rFonts w:ascii="Arial" w:hAnsi="Arial" w:cs="Times New Roman"/>
                <w:sz w:val="24"/>
                <w:szCs w:val="24"/>
              </w:rPr>
              <w:t>, debe</w:t>
            </w:r>
            <w:r w:rsidR="00756BC6" w:rsidRPr="00756BC6">
              <w:rPr>
                <w:rFonts w:ascii="Arial" w:hAnsi="Arial" w:cs="Times New Roman"/>
                <w:sz w:val="24"/>
                <w:szCs w:val="24"/>
              </w:rPr>
              <w:t xml:space="preserve"> quedar muy claro, que no puede haber en daño moral indemniz</w:t>
            </w:r>
            <w:r w:rsidR="00756BC6" w:rsidRPr="00756BC6">
              <w:rPr>
                <w:rFonts w:ascii="Arial" w:hAnsi="Arial" w:cs="Times New Roman"/>
                <w:sz w:val="24"/>
                <w:szCs w:val="24"/>
              </w:rPr>
              <w:t>a</w:t>
            </w:r>
            <w:r w:rsidR="00756BC6" w:rsidRPr="00756BC6">
              <w:rPr>
                <w:rFonts w:ascii="Arial" w:hAnsi="Arial" w:cs="Times New Roman"/>
                <w:sz w:val="24"/>
                <w:szCs w:val="24"/>
              </w:rPr>
              <w:t>ciones diferentes para los ciudadanos que sufren daño corporal y por ello, debe tr</w:t>
            </w:r>
            <w:r w:rsidR="00756BC6" w:rsidRPr="00756BC6">
              <w:rPr>
                <w:rFonts w:ascii="Arial" w:hAnsi="Arial" w:cs="Times New Roman"/>
                <w:sz w:val="24"/>
                <w:szCs w:val="24"/>
              </w:rPr>
              <w:t>a</w:t>
            </w:r>
            <w:r w:rsidR="00756BC6" w:rsidRPr="00756BC6">
              <w:rPr>
                <w:rFonts w:ascii="Arial" w:hAnsi="Arial" w:cs="Times New Roman"/>
                <w:sz w:val="24"/>
                <w:szCs w:val="24"/>
              </w:rPr>
              <w:t xml:space="preserve">bajarse únicamente en la ampliación de secuelas o de daños que se producen de </w:t>
            </w:r>
            <w:r w:rsidR="00756BC6" w:rsidRPr="00756BC6">
              <w:rPr>
                <w:rFonts w:ascii="Arial" w:hAnsi="Arial" w:cs="Times New Roman"/>
                <w:sz w:val="24"/>
                <w:szCs w:val="24"/>
              </w:rPr>
              <w:lastRenderedPageBreak/>
              <w:t>una forma exclusiva en el ámbito sanitario y que pueden no estar reflejados ad</w:t>
            </w:r>
            <w:r w:rsidR="00756BC6" w:rsidRPr="00756BC6">
              <w:rPr>
                <w:rFonts w:ascii="Arial" w:hAnsi="Arial" w:cs="Times New Roman"/>
                <w:sz w:val="24"/>
                <w:szCs w:val="24"/>
              </w:rPr>
              <w:t>e</w:t>
            </w:r>
            <w:r w:rsidR="00756BC6" w:rsidRPr="00756BC6">
              <w:rPr>
                <w:rFonts w:ascii="Arial" w:hAnsi="Arial" w:cs="Times New Roman"/>
                <w:sz w:val="24"/>
                <w:szCs w:val="24"/>
              </w:rPr>
              <w:t xml:space="preserve">cuadamente en el </w:t>
            </w:r>
            <w:r w:rsidR="00465345">
              <w:rPr>
                <w:rFonts w:ascii="Arial" w:hAnsi="Arial" w:cs="Times New Roman"/>
                <w:sz w:val="24"/>
                <w:szCs w:val="24"/>
              </w:rPr>
              <w:t>baremo médico que existe en la L</w:t>
            </w:r>
            <w:r w:rsidR="00756BC6" w:rsidRPr="00756BC6">
              <w:rPr>
                <w:rFonts w:ascii="Arial" w:hAnsi="Arial" w:cs="Times New Roman"/>
                <w:sz w:val="24"/>
                <w:szCs w:val="24"/>
              </w:rPr>
              <w:t>ey 35/2015, concretamente, en la tabla 2.a.1</w:t>
            </w:r>
          </w:p>
          <w:p w14:paraId="4C31CF60" w14:textId="77777777" w:rsidR="00C95CFD" w:rsidRPr="00756BC6" w:rsidRDefault="00C95CFD" w:rsidP="002854A3">
            <w:pPr>
              <w:jc w:val="both"/>
              <w:rPr>
                <w:rFonts w:ascii="Arial" w:hAnsi="Arial" w:cs="Times New Roman"/>
                <w:sz w:val="24"/>
                <w:szCs w:val="24"/>
              </w:rPr>
            </w:pPr>
          </w:p>
          <w:p w14:paraId="29CD667C" w14:textId="4B223006" w:rsidR="002854A3" w:rsidRPr="00756BC6" w:rsidRDefault="00C95CFD" w:rsidP="002854A3">
            <w:pPr>
              <w:jc w:val="both"/>
              <w:rPr>
                <w:rFonts w:ascii="Arial" w:hAnsi="Arial" w:cs="Times New Roman"/>
                <w:sz w:val="24"/>
                <w:szCs w:val="24"/>
              </w:rPr>
            </w:pPr>
            <w:r>
              <w:rPr>
                <w:rFonts w:ascii="Arial" w:hAnsi="Arial" w:cs="Times New Roman"/>
                <w:sz w:val="24"/>
                <w:szCs w:val="24"/>
              </w:rPr>
              <w:t xml:space="preserve">Desde este criterio, </w:t>
            </w:r>
            <w:r w:rsidR="00756BC6" w:rsidRPr="00756BC6">
              <w:rPr>
                <w:rFonts w:ascii="Arial" w:hAnsi="Arial" w:cs="Times New Roman"/>
                <w:sz w:val="24"/>
                <w:szCs w:val="24"/>
              </w:rPr>
              <w:t>cuando las secuelas sean las mismas, deben tener exactame</w:t>
            </w:r>
            <w:r w:rsidR="00465345">
              <w:rPr>
                <w:rFonts w:ascii="Arial" w:hAnsi="Arial" w:cs="Times New Roman"/>
                <w:sz w:val="24"/>
                <w:szCs w:val="24"/>
              </w:rPr>
              <w:t>n</w:t>
            </w:r>
            <w:r w:rsidR="00756BC6" w:rsidRPr="00756BC6">
              <w:rPr>
                <w:rFonts w:ascii="Arial" w:hAnsi="Arial" w:cs="Times New Roman"/>
                <w:sz w:val="24"/>
                <w:szCs w:val="24"/>
              </w:rPr>
              <w:t>te la misma valoración (idénticos puntos), se haya causado por accidente de tráfico o se haya causado en cualquier otra actividad.</w:t>
            </w:r>
          </w:p>
          <w:p w14:paraId="47E166A2" w14:textId="77777777" w:rsidR="00E644B4" w:rsidRPr="00E644B4" w:rsidRDefault="00E644B4" w:rsidP="002854A3">
            <w:pPr>
              <w:jc w:val="both"/>
              <w:rPr>
                <w:rFonts w:cs="Times New Roman"/>
              </w:rPr>
            </w:pPr>
          </w:p>
          <w:p w14:paraId="2D2B288C" w14:textId="77777777" w:rsidR="00E01C16" w:rsidRPr="00B5299A" w:rsidRDefault="00E01C16" w:rsidP="00D94580">
            <w:pPr>
              <w:rPr>
                <w:sz w:val="24"/>
                <w:szCs w:val="24"/>
              </w:rPr>
            </w:pPr>
          </w:p>
        </w:tc>
      </w:tr>
      <w:tr w:rsidR="000E2D93" w:rsidRPr="00B5299A" w14:paraId="4DF57A46" w14:textId="77777777" w:rsidTr="00845AF2">
        <w:trPr>
          <w:trHeight w:val="1304"/>
        </w:trPr>
        <w:tc>
          <w:tcPr>
            <w:tcW w:w="9214" w:type="dxa"/>
          </w:tcPr>
          <w:p w14:paraId="26B5F7D0" w14:textId="77777777" w:rsidR="003D6AE3" w:rsidRDefault="000E2D93" w:rsidP="00E43D34">
            <w:pPr>
              <w:rPr>
                <w:rFonts w:cs="Times New Roman"/>
                <w:b/>
              </w:rPr>
            </w:pPr>
            <w:r w:rsidRPr="00AC6589">
              <w:rPr>
                <w:rFonts w:cs="Times New Roman"/>
                <w:b/>
              </w:rPr>
              <w:lastRenderedPageBreak/>
              <w:t>¿CONSIDERA QUE SE DEBE INCLUIR LA CUANTIFICACIÓN DE LA PÉRDIDA DE OPORTUNIDAD? ¿CÓMO?</w:t>
            </w:r>
            <w:r w:rsidR="003D6AE3">
              <w:rPr>
                <w:rFonts w:cs="Times New Roman"/>
                <w:b/>
              </w:rPr>
              <w:t xml:space="preserve"> </w:t>
            </w:r>
          </w:p>
          <w:p w14:paraId="2DF0BC82" w14:textId="77777777" w:rsidR="003D6AE3" w:rsidRDefault="003D6AE3" w:rsidP="00E43D34">
            <w:pPr>
              <w:rPr>
                <w:rFonts w:cs="Times New Roman"/>
              </w:rPr>
            </w:pPr>
          </w:p>
          <w:p w14:paraId="077C87D2" w14:textId="79992214" w:rsidR="00E43D34" w:rsidRDefault="00C95CFD" w:rsidP="00E43D34">
            <w:pPr>
              <w:rPr>
                <w:rFonts w:ascii="Arial" w:hAnsi="Arial" w:cs="Times New Roman"/>
                <w:bCs/>
                <w:sz w:val="24"/>
                <w:szCs w:val="24"/>
              </w:rPr>
            </w:pPr>
            <w:r>
              <w:rPr>
                <w:rFonts w:ascii="Arial" w:hAnsi="Arial" w:cs="Times New Roman"/>
                <w:sz w:val="24"/>
                <w:szCs w:val="24"/>
              </w:rPr>
              <w:t xml:space="preserve">Debería existir </w:t>
            </w:r>
            <w:r w:rsidR="00756BC6" w:rsidRPr="00756BC6">
              <w:rPr>
                <w:rFonts w:ascii="Arial" w:hAnsi="Arial" w:cs="Times New Roman"/>
                <w:sz w:val="24"/>
                <w:szCs w:val="24"/>
              </w:rPr>
              <w:t xml:space="preserve">un capítulo especial dedicado a la pérdida de oportunidad, </w:t>
            </w:r>
            <w:r>
              <w:rPr>
                <w:rFonts w:ascii="Arial" w:hAnsi="Arial" w:cs="Times New Roman"/>
                <w:sz w:val="24"/>
                <w:szCs w:val="24"/>
              </w:rPr>
              <w:t xml:space="preserve">con </w:t>
            </w:r>
            <w:r w:rsidR="00756BC6" w:rsidRPr="00756BC6">
              <w:rPr>
                <w:rFonts w:ascii="Arial" w:hAnsi="Arial" w:cs="Times New Roman"/>
                <w:sz w:val="24"/>
                <w:szCs w:val="24"/>
              </w:rPr>
              <w:t xml:space="preserve">una horquilla de valoración, teniendo en cuenta </w:t>
            </w:r>
            <w:r w:rsidR="00756BC6" w:rsidRPr="00756BC6">
              <w:rPr>
                <w:rFonts w:ascii="Arial" w:hAnsi="Arial" w:cs="Times New Roman"/>
                <w:bCs/>
                <w:sz w:val="24"/>
                <w:szCs w:val="24"/>
              </w:rPr>
              <w:t>un juicio probabilístico en el cálculo i</w:t>
            </w:r>
            <w:r w:rsidR="00756BC6" w:rsidRPr="00756BC6">
              <w:rPr>
                <w:rFonts w:ascii="Arial" w:hAnsi="Arial" w:cs="Times New Roman"/>
                <w:bCs/>
                <w:sz w:val="24"/>
                <w:szCs w:val="24"/>
              </w:rPr>
              <w:t>n</w:t>
            </w:r>
            <w:r w:rsidR="00756BC6" w:rsidRPr="00756BC6">
              <w:rPr>
                <w:rFonts w:ascii="Arial" w:hAnsi="Arial" w:cs="Times New Roman"/>
                <w:bCs/>
                <w:sz w:val="24"/>
                <w:szCs w:val="24"/>
              </w:rPr>
              <w:t>demnizatorio que se refiera tanto al daño moral como al daño patrimonial.</w:t>
            </w:r>
          </w:p>
          <w:p w14:paraId="16400652" w14:textId="77777777" w:rsidR="00C95CFD" w:rsidRPr="00756BC6" w:rsidRDefault="00C95CFD" w:rsidP="00E43D34">
            <w:pPr>
              <w:rPr>
                <w:rFonts w:ascii="Arial" w:hAnsi="Arial" w:cs="Times New Roman"/>
                <w:bCs/>
                <w:sz w:val="24"/>
                <w:szCs w:val="24"/>
              </w:rPr>
            </w:pPr>
          </w:p>
          <w:p w14:paraId="4F73266E" w14:textId="0886ECA2" w:rsidR="00B319AA" w:rsidRDefault="00C95CFD" w:rsidP="00B319AA">
            <w:pPr>
              <w:jc w:val="both"/>
              <w:rPr>
                <w:rFonts w:ascii="Arial" w:hAnsi="Arial" w:cs="Times New Roman"/>
                <w:bCs/>
                <w:sz w:val="24"/>
                <w:szCs w:val="24"/>
              </w:rPr>
            </w:pPr>
            <w:r>
              <w:rPr>
                <w:rFonts w:ascii="Arial" w:hAnsi="Arial" w:cs="Times New Roman"/>
                <w:bCs/>
                <w:sz w:val="24"/>
                <w:szCs w:val="24"/>
              </w:rPr>
              <w:t>E</w:t>
            </w:r>
            <w:r w:rsidR="00756BC6" w:rsidRPr="00756BC6">
              <w:rPr>
                <w:rFonts w:ascii="Arial" w:hAnsi="Arial" w:cs="Times New Roman"/>
                <w:bCs/>
                <w:sz w:val="24"/>
                <w:szCs w:val="24"/>
              </w:rPr>
              <w:t>n caso de daños corporales, la pérdida de opo</w:t>
            </w:r>
            <w:r>
              <w:rPr>
                <w:rFonts w:ascii="Arial" w:hAnsi="Arial" w:cs="Times New Roman"/>
                <w:bCs/>
                <w:sz w:val="24"/>
                <w:szCs w:val="24"/>
              </w:rPr>
              <w:t>rtunidad implica que la victima</w:t>
            </w:r>
            <w:r w:rsidR="00756BC6" w:rsidRPr="00756BC6">
              <w:rPr>
                <w:rFonts w:ascii="Arial" w:hAnsi="Arial" w:cs="Times New Roman"/>
                <w:bCs/>
                <w:sz w:val="24"/>
                <w:szCs w:val="24"/>
              </w:rPr>
              <w:t>, d</w:t>
            </w:r>
            <w:r w:rsidR="00756BC6" w:rsidRPr="00756BC6">
              <w:rPr>
                <w:rFonts w:ascii="Arial" w:hAnsi="Arial" w:cs="Times New Roman"/>
                <w:bCs/>
                <w:sz w:val="24"/>
                <w:szCs w:val="24"/>
              </w:rPr>
              <w:t>e</w:t>
            </w:r>
            <w:r w:rsidR="00756BC6" w:rsidRPr="00756BC6">
              <w:rPr>
                <w:rFonts w:ascii="Arial" w:hAnsi="Arial" w:cs="Times New Roman"/>
                <w:bCs/>
                <w:sz w:val="24"/>
                <w:szCs w:val="24"/>
              </w:rPr>
              <w:t>bido a la inadecuada praxis médica o negligencia médica, ha perdido la oportunidad de haber curado o de haber mejorado en su estado de salud, en caso de que se hubiera actuado de forma adecuada y diligente.</w:t>
            </w:r>
          </w:p>
          <w:p w14:paraId="3B30B3EE" w14:textId="77777777" w:rsidR="00C95CFD" w:rsidRPr="00756BC6" w:rsidRDefault="00C95CFD" w:rsidP="00B319AA">
            <w:pPr>
              <w:jc w:val="both"/>
              <w:rPr>
                <w:rFonts w:ascii="Arial" w:hAnsi="Arial" w:cs="Times New Roman"/>
                <w:bCs/>
                <w:sz w:val="24"/>
                <w:szCs w:val="24"/>
              </w:rPr>
            </w:pPr>
          </w:p>
          <w:p w14:paraId="0F962B12" w14:textId="02BD598C" w:rsidR="00B851BF" w:rsidRDefault="00C95CFD" w:rsidP="00C66A00">
            <w:pPr>
              <w:jc w:val="both"/>
              <w:rPr>
                <w:rFonts w:ascii="Arial" w:hAnsi="Arial" w:cs="Times New Roman"/>
                <w:bCs/>
                <w:sz w:val="24"/>
                <w:szCs w:val="24"/>
              </w:rPr>
            </w:pPr>
            <w:r>
              <w:rPr>
                <w:rFonts w:ascii="Arial" w:hAnsi="Arial" w:cs="Times New Roman"/>
                <w:bCs/>
                <w:sz w:val="24"/>
                <w:szCs w:val="24"/>
              </w:rPr>
              <w:t>C</w:t>
            </w:r>
            <w:r w:rsidR="00756BC6" w:rsidRPr="00756BC6">
              <w:rPr>
                <w:rFonts w:ascii="Arial" w:hAnsi="Arial" w:cs="Times New Roman"/>
                <w:bCs/>
                <w:sz w:val="24"/>
                <w:szCs w:val="24"/>
              </w:rPr>
              <w:t>reemos</w:t>
            </w:r>
            <w:r w:rsidR="00465345">
              <w:rPr>
                <w:rFonts w:ascii="Arial" w:hAnsi="Arial" w:cs="Times New Roman"/>
                <w:bCs/>
                <w:sz w:val="24"/>
                <w:szCs w:val="24"/>
              </w:rPr>
              <w:t>,</w:t>
            </w:r>
            <w:r w:rsidR="00756BC6" w:rsidRPr="00756BC6">
              <w:rPr>
                <w:rFonts w:ascii="Arial" w:hAnsi="Arial" w:cs="Times New Roman"/>
                <w:bCs/>
                <w:sz w:val="24"/>
                <w:szCs w:val="24"/>
              </w:rPr>
              <w:t xml:space="preserve"> por ello, que debe establecerse un sistema donde se pueda determinar una indemnización según quede acreditado cuál era el porcentaje o posibilidades de mejora.</w:t>
            </w:r>
          </w:p>
          <w:p w14:paraId="5A4464C0" w14:textId="77777777" w:rsidR="00C95CFD" w:rsidRPr="00756BC6" w:rsidRDefault="00C95CFD" w:rsidP="00C66A00">
            <w:pPr>
              <w:jc w:val="both"/>
              <w:rPr>
                <w:rFonts w:ascii="Arial" w:hAnsi="Arial" w:cs="Times New Roman"/>
                <w:bCs/>
                <w:sz w:val="24"/>
                <w:szCs w:val="24"/>
              </w:rPr>
            </w:pPr>
          </w:p>
          <w:p w14:paraId="0EFF149A" w14:textId="23AA13C4" w:rsidR="000A19AC" w:rsidRDefault="00C95CFD" w:rsidP="00C66A00">
            <w:pPr>
              <w:jc w:val="both"/>
              <w:rPr>
                <w:rFonts w:ascii="Arial" w:hAnsi="Arial" w:cs="Times New Roman"/>
                <w:bCs/>
                <w:sz w:val="24"/>
                <w:szCs w:val="24"/>
              </w:rPr>
            </w:pPr>
            <w:r>
              <w:rPr>
                <w:rFonts w:ascii="Arial" w:hAnsi="Arial" w:cs="Times New Roman"/>
                <w:bCs/>
                <w:sz w:val="24"/>
                <w:szCs w:val="24"/>
              </w:rPr>
              <w:t>D</w:t>
            </w:r>
            <w:r w:rsidR="00756BC6" w:rsidRPr="00756BC6">
              <w:rPr>
                <w:rFonts w:ascii="Arial" w:hAnsi="Arial" w:cs="Times New Roman"/>
                <w:bCs/>
                <w:sz w:val="24"/>
                <w:szCs w:val="24"/>
              </w:rPr>
              <w:t>e la misma forma que en los accidentes de tráfico puede existir una reducción de la indemnización en determinados supuestos, en este caso, se podría establecer una horquilla de porcentajes, que debería aplicarse sobre la indemnización total que correspondería al juicio probabilístico de cuál fue la pérdida de oportunidad que ha sufrido el paciente.</w:t>
            </w:r>
          </w:p>
          <w:p w14:paraId="4EC51181" w14:textId="77777777" w:rsidR="00C95CFD" w:rsidRPr="00756BC6" w:rsidRDefault="00C95CFD" w:rsidP="00C66A00">
            <w:pPr>
              <w:jc w:val="both"/>
              <w:rPr>
                <w:rFonts w:ascii="Arial" w:hAnsi="Arial" w:cs="Times New Roman"/>
                <w:bCs/>
                <w:sz w:val="24"/>
                <w:szCs w:val="24"/>
              </w:rPr>
            </w:pPr>
          </w:p>
          <w:p w14:paraId="793D70C1" w14:textId="4E4BAC8D" w:rsidR="00CB3ABE" w:rsidRDefault="00C95CFD" w:rsidP="00EF1489">
            <w:pPr>
              <w:jc w:val="both"/>
              <w:rPr>
                <w:rFonts w:ascii="Arial" w:hAnsi="Arial" w:cs="Times New Roman"/>
                <w:sz w:val="24"/>
                <w:szCs w:val="24"/>
              </w:rPr>
            </w:pPr>
            <w:r>
              <w:rPr>
                <w:rFonts w:ascii="Arial" w:hAnsi="Arial" w:cs="Times New Roman"/>
                <w:bCs/>
                <w:sz w:val="24"/>
                <w:szCs w:val="24"/>
              </w:rPr>
              <w:t>E</w:t>
            </w:r>
            <w:r w:rsidR="00756BC6" w:rsidRPr="00756BC6">
              <w:rPr>
                <w:rFonts w:ascii="Arial" w:hAnsi="Arial" w:cs="Times New Roman"/>
                <w:bCs/>
                <w:sz w:val="24"/>
                <w:szCs w:val="24"/>
              </w:rPr>
              <w:t xml:space="preserve">s indudable que en un baremo sanitario debe existir </w:t>
            </w:r>
            <w:r w:rsidR="00756BC6" w:rsidRPr="00756BC6">
              <w:rPr>
                <w:rFonts w:ascii="Arial" w:hAnsi="Arial" w:cs="Times New Roman"/>
                <w:sz w:val="24"/>
                <w:szCs w:val="24"/>
              </w:rPr>
              <w:t>la llamada “pérdida de oport</w:t>
            </w:r>
            <w:r w:rsidR="00756BC6" w:rsidRPr="00756BC6">
              <w:rPr>
                <w:rFonts w:ascii="Arial" w:hAnsi="Arial" w:cs="Times New Roman"/>
                <w:sz w:val="24"/>
                <w:szCs w:val="24"/>
              </w:rPr>
              <w:t>u</w:t>
            </w:r>
            <w:r w:rsidR="00756BC6" w:rsidRPr="00756BC6">
              <w:rPr>
                <w:rFonts w:ascii="Arial" w:hAnsi="Arial" w:cs="Times New Roman"/>
                <w:sz w:val="24"/>
                <w:szCs w:val="24"/>
              </w:rPr>
              <w:t>nidad”, para que se fije en esos supuestos la cuota o porcentaje reductor sobre la indemnización total que corresponda a la víctima o a los perjudicados, en base a cuál es la estimación del porcentaje que hubiera existido una probabilidad de éxito de haberse actuado en el tratamiento de una forma adecuada y debidamente aju</w:t>
            </w:r>
            <w:r w:rsidR="00756BC6" w:rsidRPr="00756BC6">
              <w:rPr>
                <w:rFonts w:ascii="Arial" w:hAnsi="Arial" w:cs="Times New Roman"/>
                <w:sz w:val="24"/>
                <w:szCs w:val="24"/>
              </w:rPr>
              <w:t>s</w:t>
            </w:r>
            <w:r w:rsidR="00756BC6" w:rsidRPr="00756BC6">
              <w:rPr>
                <w:rFonts w:ascii="Arial" w:hAnsi="Arial" w:cs="Times New Roman"/>
                <w:sz w:val="24"/>
                <w:szCs w:val="24"/>
              </w:rPr>
              <w:t>tada a la praxis médica.</w:t>
            </w:r>
          </w:p>
          <w:p w14:paraId="6AC62139" w14:textId="635CCF5F" w:rsidR="00C95CFD" w:rsidRPr="00AC6589" w:rsidRDefault="00C95CFD" w:rsidP="00EF1489">
            <w:pPr>
              <w:jc w:val="both"/>
              <w:rPr>
                <w:rFonts w:cs="Times New Roman"/>
                <w:b/>
              </w:rPr>
            </w:pPr>
          </w:p>
        </w:tc>
      </w:tr>
      <w:tr w:rsidR="000E2D93" w:rsidRPr="00B5299A" w14:paraId="67750AAB" w14:textId="77777777" w:rsidTr="00845AF2">
        <w:trPr>
          <w:trHeight w:val="1304"/>
        </w:trPr>
        <w:tc>
          <w:tcPr>
            <w:tcW w:w="9214" w:type="dxa"/>
          </w:tcPr>
          <w:p w14:paraId="5D609EED" w14:textId="77777777" w:rsidR="000E2D93" w:rsidRPr="00EF4F74" w:rsidRDefault="000E2D93" w:rsidP="000E2D93">
            <w:pPr>
              <w:rPr>
                <w:rFonts w:cs="Times New Roman"/>
                <w:b/>
              </w:rPr>
            </w:pPr>
            <w:r w:rsidRPr="00EF4F74">
              <w:rPr>
                <w:rFonts w:cs="Times New Roman"/>
                <w:b/>
              </w:rPr>
              <w:t>¿CONSIDERA QUE SE DEBE INCLUIR LA VALORACIÓN DEL ESTADO PREVIO DEL PACIENTE? ¿CÓMO?</w:t>
            </w:r>
          </w:p>
          <w:p w14:paraId="5EBDDF95" w14:textId="77777777" w:rsidR="00BA1237" w:rsidRDefault="00BA1237" w:rsidP="00BA1237">
            <w:pPr>
              <w:jc w:val="both"/>
              <w:rPr>
                <w:rFonts w:cs="Times New Roman"/>
                <w:bCs/>
              </w:rPr>
            </w:pPr>
          </w:p>
          <w:p w14:paraId="35375024" w14:textId="4E5BCDFC" w:rsidR="00BA1237" w:rsidRDefault="00C95CFD" w:rsidP="00BA1237">
            <w:pPr>
              <w:jc w:val="both"/>
              <w:rPr>
                <w:rFonts w:ascii="Arial" w:hAnsi="Arial" w:cs="Times New Roman"/>
                <w:bCs/>
                <w:sz w:val="24"/>
                <w:szCs w:val="24"/>
              </w:rPr>
            </w:pPr>
            <w:r>
              <w:rPr>
                <w:rFonts w:ascii="Arial" w:hAnsi="Arial" w:cs="Times New Roman"/>
                <w:bCs/>
                <w:sz w:val="24"/>
                <w:szCs w:val="24"/>
              </w:rPr>
              <w:t>Con el mismo criterio</w:t>
            </w:r>
            <w:r w:rsidR="00465345">
              <w:rPr>
                <w:rFonts w:ascii="Arial" w:hAnsi="Arial" w:cs="Times New Roman"/>
                <w:bCs/>
                <w:sz w:val="24"/>
                <w:szCs w:val="24"/>
              </w:rPr>
              <w:t xml:space="preserve"> que en la L</w:t>
            </w:r>
            <w:r w:rsidR="00756BC6" w:rsidRPr="00756BC6">
              <w:rPr>
                <w:rFonts w:ascii="Arial" w:hAnsi="Arial" w:cs="Times New Roman"/>
                <w:bCs/>
                <w:sz w:val="24"/>
                <w:szCs w:val="24"/>
              </w:rPr>
              <w:t>ey 35/2015 existe la posibilidad de “agravación de un estado previo”, debe también recogerse en una futura legislación sobre el daño en el ámbito sanitario, pero teniendo un especial cuidado en no confundirlo con las características o circunstancias personales de la víctima, también conocido como “predisposición de la víctima”, que en ningún caso puede ser utilizado como un i</w:t>
            </w:r>
            <w:r w:rsidR="00756BC6" w:rsidRPr="00756BC6">
              <w:rPr>
                <w:rFonts w:ascii="Arial" w:hAnsi="Arial" w:cs="Times New Roman"/>
                <w:bCs/>
                <w:sz w:val="24"/>
                <w:szCs w:val="24"/>
              </w:rPr>
              <w:t>n</w:t>
            </w:r>
            <w:r w:rsidR="00756BC6" w:rsidRPr="00756BC6">
              <w:rPr>
                <w:rFonts w:ascii="Arial" w:hAnsi="Arial" w:cs="Times New Roman"/>
                <w:bCs/>
                <w:sz w:val="24"/>
                <w:szCs w:val="24"/>
              </w:rPr>
              <w:t xml:space="preserve">tento de reducir las indemnizaciones por el daño causado, pues una persona puede </w:t>
            </w:r>
            <w:r w:rsidR="00756BC6" w:rsidRPr="00756BC6">
              <w:rPr>
                <w:rFonts w:ascii="Arial" w:hAnsi="Arial" w:cs="Times New Roman"/>
                <w:bCs/>
                <w:sz w:val="24"/>
                <w:szCs w:val="24"/>
              </w:rPr>
              <w:lastRenderedPageBreak/>
              <w:t>tener una edad o una situación de salud que le haga “predisponer” a una mayor agravación o a mayor complicación, pero eso no puede reducir ni un ápice la i</w:t>
            </w:r>
            <w:r w:rsidR="00756BC6" w:rsidRPr="00756BC6">
              <w:rPr>
                <w:rFonts w:ascii="Arial" w:hAnsi="Arial" w:cs="Times New Roman"/>
                <w:bCs/>
                <w:sz w:val="24"/>
                <w:szCs w:val="24"/>
              </w:rPr>
              <w:t>n</w:t>
            </w:r>
            <w:r w:rsidR="00756BC6" w:rsidRPr="00756BC6">
              <w:rPr>
                <w:rFonts w:ascii="Arial" w:hAnsi="Arial" w:cs="Times New Roman"/>
                <w:bCs/>
                <w:sz w:val="24"/>
                <w:szCs w:val="24"/>
              </w:rPr>
              <w:t>demnización que le corresponda, y debe ser indemnizada en todo el daño que haya sufrido.</w:t>
            </w:r>
          </w:p>
          <w:p w14:paraId="2E65CB8F" w14:textId="77777777" w:rsidR="00C95CFD" w:rsidRPr="00756BC6" w:rsidRDefault="00C95CFD" w:rsidP="00BA1237">
            <w:pPr>
              <w:jc w:val="both"/>
              <w:rPr>
                <w:rFonts w:ascii="Arial" w:hAnsi="Arial" w:cs="Times New Roman"/>
                <w:bCs/>
                <w:sz w:val="24"/>
                <w:szCs w:val="24"/>
              </w:rPr>
            </w:pPr>
          </w:p>
          <w:p w14:paraId="260A35F8" w14:textId="40FCF155" w:rsidR="00E516A6" w:rsidRPr="00756BC6" w:rsidRDefault="00C95CFD" w:rsidP="00BA1237">
            <w:pPr>
              <w:jc w:val="both"/>
              <w:rPr>
                <w:rFonts w:ascii="Arial" w:hAnsi="Arial" w:cs="Times New Roman"/>
                <w:bCs/>
                <w:sz w:val="24"/>
                <w:szCs w:val="24"/>
              </w:rPr>
            </w:pPr>
            <w:r>
              <w:rPr>
                <w:rFonts w:ascii="Arial" w:hAnsi="Arial" w:cs="Times New Roman"/>
                <w:bCs/>
                <w:sz w:val="24"/>
                <w:szCs w:val="24"/>
              </w:rPr>
              <w:t>Situación, absolutamente,</w:t>
            </w:r>
            <w:r w:rsidR="00756BC6" w:rsidRPr="00756BC6">
              <w:rPr>
                <w:rFonts w:ascii="Arial" w:hAnsi="Arial" w:cs="Times New Roman"/>
                <w:bCs/>
                <w:sz w:val="24"/>
                <w:szCs w:val="24"/>
              </w:rPr>
              <w:t xml:space="preserve"> distinta es la “agravación de un estado previo” que se ha</w:t>
            </w:r>
            <w:r w:rsidR="00465345">
              <w:rPr>
                <w:rFonts w:ascii="Arial" w:hAnsi="Arial" w:cs="Times New Roman"/>
                <w:bCs/>
                <w:sz w:val="24"/>
                <w:szCs w:val="24"/>
              </w:rPr>
              <w:t xml:space="preserve"> regulado con corrección en la L</w:t>
            </w:r>
            <w:r w:rsidR="00756BC6" w:rsidRPr="00756BC6">
              <w:rPr>
                <w:rFonts w:ascii="Arial" w:hAnsi="Arial" w:cs="Times New Roman"/>
                <w:bCs/>
                <w:sz w:val="24"/>
                <w:szCs w:val="24"/>
              </w:rPr>
              <w:t>ey 35/2015, pues si ya tenía una pérdida anatómica o una pérdida funcional, debe tenerse en cuenta, pero puede verse que esa situ</w:t>
            </w:r>
            <w:r w:rsidR="00756BC6" w:rsidRPr="00756BC6">
              <w:rPr>
                <w:rFonts w:ascii="Arial" w:hAnsi="Arial" w:cs="Times New Roman"/>
                <w:bCs/>
                <w:sz w:val="24"/>
                <w:szCs w:val="24"/>
              </w:rPr>
              <w:t>a</w:t>
            </w:r>
            <w:r w:rsidR="00756BC6" w:rsidRPr="00756BC6">
              <w:rPr>
                <w:rFonts w:ascii="Arial" w:hAnsi="Arial" w:cs="Times New Roman"/>
                <w:bCs/>
                <w:sz w:val="24"/>
                <w:szCs w:val="24"/>
              </w:rPr>
              <w:t>ción previa puede ser con efectos reductores o con efectos agravatorios, pues la pérdida de un ojo para una persona que ya tenía perdida la visión del otro ojo, le produce la ceguera, y ese estado previo,</w:t>
            </w:r>
            <w:r>
              <w:rPr>
                <w:rFonts w:ascii="Arial" w:hAnsi="Arial" w:cs="Times New Roman"/>
                <w:bCs/>
                <w:sz w:val="24"/>
                <w:szCs w:val="24"/>
              </w:rPr>
              <w:t xml:space="preserve"> con la fórmula de G</w:t>
            </w:r>
            <w:r w:rsidR="00756BC6" w:rsidRPr="00756BC6">
              <w:rPr>
                <w:rFonts w:ascii="Arial" w:hAnsi="Arial" w:cs="Times New Roman"/>
                <w:bCs/>
                <w:sz w:val="24"/>
                <w:szCs w:val="24"/>
              </w:rPr>
              <w:t>abrielli, lo que hace es aumentar su derecho indem</w:t>
            </w:r>
            <w:r>
              <w:rPr>
                <w:rFonts w:ascii="Arial" w:hAnsi="Arial" w:cs="Times New Roman"/>
                <w:bCs/>
                <w:sz w:val="24"/>
                <w:szCs w:val="24"/>
              </w:rPr>
              <w:t>nizatorio.</w:t>
            </w:r>
            <w:r w:rsidR="00756BC6" w:rsidRPr="00756BC6">
              <w:rPr>
                <w:rFonts w:ascii="Arial" w:hAnsi="Arial" w:cs="Times New Roman"/>
                <w:bCs/>
                <w:sz w:val="24"/>
                <w:szCs w:val="24"/>
              </w:rPr>
              <w:t xml:space="preserve"> </w:t>
            </w:r>
          </w:p>
          <w:p w14:paraId="70C52A1B" w14:textId="77777777" w:rsidR="005249EE" w:rsidRPr="00756BC6" w:rsidRDefault="005249EE" w:rsidP="005249EE">
            <w:pPr>
              <w:rPr>
                <w:rFonts w:ascii="Arial" w:hAnsi="Arial" w:cs="Times New Roman"/>
                <w:b/>
                <w:sz w:val="24"/>
                <w:szCs w:val="24"/>
              </w:rPr>
            </w:pPr>
          </w:p>
          <w:p w14:paraId="56ED44CB" w14:textId="77777777" w:rsidR="00EF4F74" w:rsidRPr="00EF4F74" w:rsidRDefault="004C411F" w:rsidP="005249EE">
            <w:pPr>
              <w:rPr>
                <w:rFonts w:cs="Times New Roman"/>
                <w:b/>
              </w:rPr>
            </w:pPr>
            <w:r>
              <w:rPr>
                <w:rFonts w:cs="Times New Roman"/>
                <w:b/>
              </w:rPr>
              <w:t xml:space="preserve"> </w:t>
            </w:r>
          </w:p>
        </w:tc>
      </w:tr>
      <w:tr w:rsidR="000E2D93" w:rsidRPr="00B5299A" w14:paraId="22754AFC" w14:textId="77777777" w:rsidTr="00845AF2">
        <w:trPr>
          <w:trHeight w:val="1304"/>
        </w:trPr>
        <w:tc>
          <w:tcPr>
            <w:tcW w:w="9214" w:type="dxa"/>
          </w:tcPr>
          <w:p w14:paraId="102723AE" w14:textId="77777777" w:rsidR="000E2D93" w:rsidRDefault="000E2D93" w:rsidP="000E2D93">
            <w:pPr>
              <w:rPr>
                <w:rFonts w:cs="Times New Roman"/>
                <w:b/>
              </w:rPr>
            </w:pPr>
            <w:r w:rsidRPr="00B5299A">
              <w:rPr>
                <w:rFonts w:cs="Times New Roman"/>
                <w:b/>
              </w:rPr>
              <w:lastRenderedPageBreak/>
              <w:t>¿CONSIDERA QUE SE DEBE VALORAR LA AUSENCIA DE CONSENTIMIENTO INFORMADO O LA FALTA DE INFORMACIÓN AL PACIENTE? ¿CÓMO?</w:t>
            </w:r>
          </w:p>
          <w:p w14:paraId="489090B8" w14:textId="77777777" w:rsidR="00A92038" w:rsidRDefault="00A92038" w:rsidP="000E2D93">
            <w:pPr>
              <w:rPr>
                <w:rFonts w:cs="Times New Roman"/>
                <w:b/>
              </w:rPr>
            </w:pPr>
          </w:p>
          <w:p w14:paraId="6D0CB9C2" w14:textId="795448AD" w:rsidR="00AC4A02" w:rsidRDefault="00C95CFD" w:rsidP="00A92038">
            <w:pPr>
              <w:jc w:val="both"/>
              <w:rPr>
                <w:rFonts w:cs="Times New Roman"/>
                <w:bCs/>
              </w:rPr>
            </w:pPr>
            <w:r>
              <w:rPr>
                <w:rFonts w:ascii="Arial" w:hAnsi="Arial" w:cs="Times New Roman"/>
                <w:bCs/>
                <w:sz w:val="24"/>
                <w:szCs w:val="24"/>
              </w:rPr>
              <w:t>D</w:t>
            </w:r>
            <w:r w:rsidR="00756BC6" w:rsidRPr="00756BC6">
              <w:rPr>
                <w:rFonts w:ascii="Arial" w:hAnsi="Arial" w:cs="Times New Roman"/>
                <w:bCs/>
                <w:sz w:val="24"/>
                <w:szCs w:val="24"/>
              </w:rPr>
              <w:t>ebe existir una indemnización por el concepto de ausencia de consentimiento i</w:t>
            </w:r>
            <w:r w:rsidR="00756BC6" w:rsidRPr="00756BC6">
              <w:rPr>
                <w:rFonts w:ascii="Arial" w:hAnsi="Arial" w:cs="Times New Roman"/>
                <w:bCs/>
                <w:sz w:val="24"/>
                <w:szCs w:val="24"/>
              </w:rPr>
              <w:t>n</w:t>
            </w:r>
            <w:r w:rsidR="00756BC6" w:rsidRPr="00756BC6">
              <w:rPr>
                <w:rFonts w:ascii="Arial" w:hAnsi="Arial" w:cs="Times New Roman"/>
                <w:bCs/>
                <w:sz w:val="24"/>
                <w:szCs w:val="24"/>
              </w:rPr>
              <w:t>formado o la falta de información de riesgos al paciente, pue</w:t>
            </w:r>
            <w:r w:rsidR="00465345">
              <w:rPr>
                <w:rFonts w:ascii="Arial" w:hAnsi="Arial" w:cs="Times New Roman"/>
                <w:bCs/>
                <w:sz w:val="24"/>
                <w:szCs w:val="24"/>
              </w:rPr>
              <w:t>s se ha privado</w:t>
            </w:r>
            <w:r w:rsidR="00756BC6" w:rsidRPr="00756BC6">
              <w:rPr>
                <w:rFonts w:ascii="Arial" w:hAnsi="Arial" w:cs="Times New Roman"/>
                <w:bCs/>
                <w:sz w:val="24"/>
                <w:szCs w:val="24"/>
              </w:rPr>
              <w:t xml:space="preserve"> a la víctima </w:t>
            </w:r>
            <w:r w:rsidR="00465345">
              <w:rPr>
                <w:rFonts w:ascii="Arial" w:hAnsi="Arial" w:cs="Times New Roman"/>
                <w:bCs/>
                <w:sz w:val="24"/>
                <w:szCs w:val="24"/>
              </w:rPr>
              <w:t xml:space="preserve">de </w:t>
            </w:r>
            <w:r w:rsidR="00756BC6" w:rsidRPr="00756BC6">
              <w:rPr>
                <w:rFonts w:ascii="Arial" w:hAnsi="Arial" w:cs="Times New Roman"/>
                <w:bCs/>
                <w:sz w:val="24"/>
                <w:szCs w:val="24"/>
              </w:rPr>
              <w:t>su derecho a decidir sobre la realización de una prueba o una interve</w:t>
            </w:r>
            <w:r w:rsidR="00756BC6" w:rsidRPr="00756BC6">
              <w:rPr>
                <w:rFonts w:ascii="Arial" w:hAnsi="Arial" w:cs="Times New Roman"/>
                <w:bCs/>
                <w:sz w:val="24"/>
                <w:szCs w:val="24"/>
              </w:rPr>
              <w:t>n</w:t>
            </w:r>
            <w:r w:rsidR="00756BC6" w:rsidRPr="00756BC6">
              <w:rPr>
                <w:rFonts w:ascii="Arial" w:hAnsi="Arial" w:cs="Times New Roman"/>
                <w:bCs/>
                <w:sz w:val="24"/>
                <w:szCs w:val="24"/>
              </w:rPr>
              <w:t xml:space="preserve">ción </w:t>
            </w:r>
            <w:r w:rsidR="00465345">
              <w:rPr>
                <w:rFonts w:ascii="Arial" w:hAnsi="Arial" w:cs="Times New Roman"/>
                <w:bCs/>
                <w:sz w:val="24"/>
                <w:szCs w:val="24"/>
              </w:rPr>
              <w:t>médica (</w:t>
            </w:r>
            <w:r w:rsidR="00756BC6" w:rsidRPr="00756BC6">
              <w:rPr>
                <w:rFonts w:ascii="Arial" w:hAnsi="Arial" w:cs="Times New Roman"/>
                <w:bCs/>
                <w:sz w:val="24"/>
                <w:szCs w:val="24"/>
              </w:rPr>
              <w:t xml:space="preserve">quirúrgica, </w:t>
            </w:r>
            <w:r w:rsidR="00465345">
              <w:rPr>
                <w:rFonts w:ascii="Arial" w:hAnsi="Arial" w:cs="Times New Roman"/>
                <w:bCs/>
                <w:sz w:val="24"/>
                <w:szCs w:val="24"/>
              </w:rPr>
              <w:t xml:space="preserve">etc.) </w:t>
            </w:r>
            <w:r w:rsidR="00756BC6" w:rsidRPr="00756BC6">
              <w:rPr>
                <w:rFonts w:ascii="Arial" w:hAnsi="Arial" w:cs="Times New Roman"/>
                <w:bCs/>
                <w:sz w:val="24"/>
                <w:szCs w:val="24"/>
              </w:rPr>
              <w:t>y en estos supuestos, no es el paciente quien ha dec</w:t>
            </w:r>
            <w:r w:rsidR="00756BC6" w:rsidRPr="00756BC6">
              <w:rPr>
                <w:rFonts w:ascii="Arial" w:hAnsi="Arial" w:cs="Times New Roman"/>
                <w:bCs/>
                <w:sz w:val="24"/>
                <w:szCs w:val="24"/>
              </w:rPr>
              <w:t>i</w:t>
            </w:r>
            <w:r w:rsidR="00756BC6" w:rsidRPr="00756BC6">
              <w:rPr>
                <w:rFonts w:ascii="Arial" w:hAnsi="Arial" w:cs="Times New Roman"/>
                <w:bCs/>
                <w:sz w:val="24"/>
                <w:szCs w:val="24"/>
              </w:rPr>
              <w:t>dido asumir el riesgo, sino que la falta de información y la falta de consentimiento produce un desplazamiento a que la asunción del riesgo se traslada a quien incu</w:t>
            </w:r>
            <w:r w:rsidR="00756BC6" w:rsidRPr="00756BC6">
              <w:rPr>
                <w:rFonts w:ascii="Arial" w:hAnsi="Arial" w:cs="Times New Roman"/>
                <w:bCs/>
                <w:sz w:val="24"/>
                <w:szCs w:val="24"/>
              </w:rPr>
              <w:t>m</w:t>
            </w:r>
            <w:r w:rsidR="00756BC6" w:rsidRPr="00756BC6">
              <w:rPr>
                <w:rFonts w:ascii="Arial" w:hAnsi="Arial" w:cs="Times New Roman"/>
                <w:bCs/>
                <w:sz w:val="24"/>
                <w:szCs w:val="24"/>
              </w:rPr>
              <w:t>plió su obligación de informar y por ello, en esos supuestos debe indemnizarse a la víctima de todo el daño que le haya sido causado en la prueba o en la intervención quirúrgica</w:t>
            </w:r>
            <w:r w:rsidR="00FE6C44">
              <w:rPr>
                <w:rFonts w:cs="Times New Roman"/>
                <w:bCs/>
              </w:rPr>
              <w:t>.</w:t>
            </w:r>
          </w:p>
          <w:p w14:paraId="1C3F3C4B" w14:textId="77777777" w:rsidR="00FE6C44" w:rsidRDefault="00FE6C44" w:rsidP="00694C33">
            <w:pPr>
              <w:rPr>
                <w:rFonts w:cs="Times New Roman"/>
                <w:b/>
              </w:rPr>
            </w:pPr>
          </w:p>
          <w:p w14:paraId="40F8C39E" w14:textId="77777777" w:rsidR="007063CD" w:rsidRPr="00905576" w:rsidRDefault="007063CD" w:rsidP="00694C33">
            <w:pPr>
              <w:rPr>
                <w:rFonts w:cs="Times New Roman"/>
                <w:b/>
              </w:rPr>
            </w:pPr>
            <w:r>
              <w:rPr>
                <w:rFonts w:cs="Times New Roman"/>
                <w:b/>
              </w:rPr>
              <w:t xml:space="preserve"> </w:t>
            </w:r>
          </w:p>
        </w:tc>
      </w:tr>
      <w:tr w:rsidR="000E2D93" w:rsidRPr="00B5299A" w14:paraId="67BCA452" w14:textId="77777777" w:rsidTr="00845AF2">
        <w:trPr>
          <w:trHeight w:val="1304"/>
        </w:trPr>
        <w:tc>
          <w:tcPr>
            <w:tcW w:w="9214" w:type="dxa"/>
          </w:tcPr>
          <w:p w14:paraId="08CA5D13" w14:textId="77777777" w:rsidR="000E2D93" w:rsidRDefault="000E2D93" w:rsidP="000E2D93">
            <w:pPr>
              <w:rPr>
                <w:rFonts w:cs="Times New Roman"/>
                <w:b/>
              </w:rPr>
            </w:pPr>
            <w:r w:rsidRPr="00B5299A">
              <w:rPr>
                <w:rFonts w:cs="Times New Roman"/>
                <w:b/>
              </w:rPr>
              <w:t xml:space="preserve">¿CONSIDERA QUE SE DEBE INCLUIR LA </w:t>
            </w:r>
            <w:r w:rsidR="00845AF2">
              <w:rPr>
                <w:rFonts w:cs="Times New Roman"/>
                <w:b/>
              </w:rPr>
              <w:t xml:space="preserve">VALORACIÓN DEL DAÑO </w:t>
            </w:r>
            <w:r w:rsidRPr="00B5299A">
              <w:rPr>
                <w:rFonts w:cs="Times New Roman"/>
                <w:b/>
              </w:rPr>
              <w:t>DESPROPORCIONADO?</w:t>
            </w:r>
            <w:r w:rsidR="00845AF2">
              <w:rPr>
                <w:rFonts w:cs="Times New Roman"/>
                <w:b/>
              </w:rPr>
              <w:t xml:space="preserve"> </w:t>
            </w:r>
            <w:r w:rsidRPr="00B5299A">
              <w:rPr>
                <w:rFonts w:cs="Times New Roman"/>
                <w:b/>
              </w:rPr>
              <w:t>¿CÓMO?</w:t>
            </w:r>
          </w:p>
          <w:p w14:paraId="566145DE" w14:textId="77777777" w:rsidR="00135B46" w:rsidRDefault="00135B46" w:rsidP="00135B46">
            <w:pPr>
              <w:rPr>
                <w:rFonts w:cs="Times New Roman"/>
                <w:b/>
              </w:rPr>
            </w:pPr>
          </w:p>
          <w:p w14:paraId="6CC236AE" w14:textId="3783A326" w:rsidR="00135B46" w:rsidRDefault="00EB3730" w:rsidP="00FE6C44">
            <w:pPr>
              <w:jc w:val="both"/>
              <w:rPr>
                <w:rFonts w:ascii="Arial" w:hAnsi="Arial" w:cs="Times New Roman"/>
                <w:bCs/>
                <w:sz w:val="24"/>
                <w:szCs w:val="24"/>
              </w:rPr>
            </w:pPr>
            <w:r>
              <w:rPr>
                <w:rFonts w:ascii="Arial" w:hAnsi="Arial" w:cs="Times New Roman"/>
                <w:bCs/>
                <w:sz w:val="24"/>
                <w:szCs w:val="24"/>
              </w:rPr>
              <w:t>C</w:t>
            </w:r>
            <w:r w:rsidR="00756BC6" w:rsidRPr="00756BC6">
              <w:rPr>
                <w:rFonts w:ascii="Arial" w:hAnsi="Arial" w:cs="Times New Roman"/>
                <w:bCs/>
                <w:sz w:val="24"/>
                <w:szCs w:val="24"/>
              </w:rPr>
              <w:t>onsideramos que debe aplicarse en algunos supuestos el criterio jurídico de “daño desproporcionado”, cuando el resultado de la prueba o de la intervención quirúrgica no tiene una lógica ni guarda una proporción con lo que debería haber sido lo no</w:t>
            </w:r>
            <w:r w:rsidR="00756BC6" w:rsidRPr="00756BC6">
              <w:rPr>
                <w:rFonts w:ascii="Arial" w:hAnsi="Arial" w:cs="Times New Roman"/>
                <w:bCs/>
                <w:sz w:val="24"/>
                <w:szCs w:val="24"/>
              </w:rPr>
              <w:t>r</w:t>
            </w:r>
            <w:r w:rsidR="00756BC6" w:rsidRPr="00756BC6">
              <w:rPr>
                <w:rFonts w:ascii="Arial" w:hAnsi="Arial" w:cs="Times New Roman"/>
                <w:bCs/>
                <w:sz w:val="24"/>
                <w:szCs w:val="24"/>
              </w:rPr>
              <w:t>mal y habitual  de acuerdo con las reglas de la experiencia, convirtiéndose en una presunción judicial que está reconocida en múltiples países (</w:t>
            </w:r>
            <w:r w:rsidR="00756BC6" w:rsidRPr="00756BC6">
              <w:rPr>
                <w:rFonts w:ascii="Arial" w:hAnsi="Arial" w:cs="Times New Roman"/>
                <w:bCs/>
                <w:i/>
                <w:iCs/>
                <w:sz w:val="24"/>
                <w:szCs w:val="24"/>
              </w:rPr>
              <w:t>res ipsa loquitur, faute virtuelle</w:t>
            </w:r>
            <w:r w:rsidR="00756BC6" w:rsidRPr="00756BC6">
              <w:rPr>
                <w:rFonts w:ascii="Arial" w:hAnsi="Arial" w:cs="Times New Roman"/>
                <w:bCs/>
                <w:sz w:val="24"/>
                <w:szCs w:val="24"/>
              </w:rPr>
              <w:t>) para poderse presumir, de esta forma, que la actividad sanitaria que ha sido realizada no es adecuada a una praxis médica y que debe por lo tanto respo</w:t>
            </w:r>
            <w:r w:rsidR="00756BC6" w:rsidRPr="00756BC6">
              <w:rPr>
                <w:rFonts w:ascii="Arial" w:hAnsi="Arial" w:cs="Times New Roman"/>
                <w:bCs/>
                <w:sz w:val="24"/>
                <w:szCs w:val="24"/>
              </w:rPr>
              <w:t>n</w:t>
            </w:r>
            <w:r w:rsidR="00756BC6" w:rsidRPr="00756BC6">
              <w:rPr>
                <w:rFonts w:ascii="Arial" w:hAnsi="Arial" w:cs="Times New Roman"/>
                <w:bCs/>
                <w:sz w:val="24"/>
                <w:szCs w:val="24"/>
              </w:rPr>
              <w:t>der en estos supuestos de un “daño desproporcionado” de la indemnización por los daños causados.</w:t>
            </w:r>
          </w:p>
          <w:p w14:paraId="5016AA4B" w14:textId="77777777" w:rsidR="00EB3730" w:rsidRPr="00756BC6" w:rsidRDefault="00EB3730" w:rsidP="00FE6C44">
            <w:pPr>
              <w:jc w:val="both"/>
              <w:rPr>
                <w:rFonts w:ascii="Arial" w:hAnsi="Arial" w:cs="Times New Roman"/>
                <w:bCs/>
                <w:sz w:val="24"/>
                <w:szCs w:val="24"/>
              </w:rPr>
            </w:pPr>
          </w:p>
          <w:p w14:paraId="71B893AA" w14:textId="781DC2F5" w:rsidR="00135B46" w:rsidRPr="00756BC6" w:rsidRDefault="00EB3730" w:rsidP="00135B46">
            <w:pPr>
              <w:jc w:val="both"/>
              <w:rPr>
                <w:rFonts w:ascii="Arial" w:hAnsi="Arial" w:cs="Times New Roman"/>
                <w:sz w:val="24"/>
                <w:szCs w:val="24"/>
              </w:rPr>
            </w:pPr>
            <w:r>
              <w:rPr>
                <w:rFonts w:ascii="Arial" w:hAnsi="Arial" w:cs="Times New Roman"/>
                <w:bCs/>
                <w:sz w:val="24"/>
                <w:szCs w:val="24"/>
              </w:rPr>
              <w:t>N</w:t>
            </w:r>
            <w:r w:rsidR="00756BC6" w:rsidRPr="00756BC6">
              <w:rPr>
                <w:rFonts w:ascii="Arial" w:hAnsi="Arial" w:cs="Times New Roman"/>
                <w:bCs/>
                <w:sz w:val="24"/>
                <w:szCs w:val="24"/>
              </w:rPr>
              <w:t xml:space="preserve">o es una cuestión que pueda fijarse dentro de un sistema de valoración, sino que se trata de una cuestión jurisprudencial basada en una </w:t>
            </w:r>
            <w:r w:rsidR="00756BC6" w:rsidRPr="00756BC6">
              <w:rPr>
                <w:rFonts w:ascii="Arial" w:hAnsi="Arial" w:cs="Times New Roman"/>
                <w:sz w:val="24"/>
                <w:szCs w:val="24"/>
              </w:rPr>
              <w:t>presunción judicial de culpa, y corresponde a una regla sustantiva y deberá decidirse si es necesario o conv</w:t>
            </w:r>
            <w:r w:rsidR="00756BC6" w:rsidRPr="00756BC6">
              <w:rPr>
                <w:rFonts w:ascii="Arial" w:hAnsi="Arial" w:cs="Times New Roman"/>
                <w:sz w:val="24"/>
                <w:szCs w:val="24"/>
              </w:rPr>
              <w:t>e</w:t>
            </w:r>
            <w:r w:rsidR="00756BC6" w:rsidRPr="00756BC6">
              <w:rPr>
                <w:rFonts w:ascii="Arial" w:hAnsi="Arial" w:cs="Times New Roman"/>
                <w:sz w:val="24"/>
                <w:szCs w:val="24"/>
              </w:rPr>
              <w:t>niente incluirlo dentro de ese futuro sistema de valoración.</w:t>
            </w:r>
          </w:p>
          <w:p w14:paraId="5105D4AC" w14:textId="77777777" w:rsidR="00A40680" w:rsidRPr="00B5299A" w:rsidRDefault="00A40680" w:rsidP="003774B2">
            <w:pPr>
              <w:jc w:val="both"/>
              <w:rPr>
                <w:rFonts w:cs="Times New Roman"/>
                <w:b/>
                <w:u w:val="single"/>
              </w:rPr>
            </w:pPr>
          </w:p>
        </w:tc>
      </w:tr>
    </w:tbl>
    <w:p w14:paraId="4AF8D5D3" w14:textId="77777777" w:rsidR="000E2D93" w:rsidRPr="00B5299A" w:rsidRDefault="000E2D93" w:rsidP="00465345">
      <w:pPr>
        <w:spacing w:before="100" w:after="100" w:line="240" w:lineRule="auto"/>
        <w:rPr>
          <w:b/>
          <w:i/>
          <w:sz w:val="24"/>
          <w:szCs w:val="24"/>
        </w:rPr>
      </w:pPr>
    </w:p>
    <w:sectPr w:rsidR="000E2D93" w:rsidRPr="00B5299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1845B" w14:textId="77777777" w:rsidR="00B02C7C" w:rsidRDefault="00B02C7C" w:rsidP="00E01C16">
      <w:pPr>
        <w:spacing w:after="0" w:line="240" w:lineRule="auto"/>
      </w:pPr>
      <w:r>
        <w:separator/>
      </w:r>
    </w:p>
  </w:endnote>
  <w:endnote w:type="continuationSeparator" w:id="0">
    <w:p w14:paraId="042F24A1" w14:textId="77777777" w:rsidR="00B02C7C" w:rsidRDefault="00B02C7C" w:rsidP="00E0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00B0500000000000000"/>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FD90B" w14:textId="77777777" w:rsidR="00B02C7C" w:rsidRDefault="00B02C7C" w:rsidP="00E01C16">
      <w:pPr>
        <w:spacing w:after="0" w:line="240" w:lineRule="auto"/>
      </w:pPr>
      <w:r>
        <w:separator/>
      </w:r>
    </w:p>
  </w:footnote>
  <w:footnote w:type="continuationSeparator" w:id="0">
    <w:p w14:paraId="3353DB76" w14:textId="77777777" w:rsidR="00B02C7C" w:rsidRDefault="00B02C7C" w:rsidP="00E01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2037B" w14:textId="77777777" w:rsidR="00B5299A" w:rsidRPr="00B5299A" w:rsidRDefault="0097055E" w:rsidP="00B5299A">
    <w:pPr>
      <w:tabs>
        <w:tab w:val="left" w:pos="6198"/>
      </w:tabs>
      <w:spacing w:after="0" w:line="240" w:lineRule="auto"/>
    </w:pPr>
    <w:r w:rsidRPr="00B5299A">
      <w:rPr>
        <w:noProof/>
        <w:lang w:eastAsia="es-ES"/>
      </w:rPr>
      <mc:AlternateContent>
        <mc:Choice Requires="wps">
          <w:drawing>
            <wp:anchor distT="0" distB="0" distL="114300" distR="114300" simplePos="0" relativeHeight="251660288" behindDoc="0" locked="0" layoutInCell="1" allowOverlap="1" wp14:anchorId="32D515E7" wp14:editId="33B60BA5">
              <wp:simplePos x="0" y="0"/>
              <wp:positionH relativeFrom="column">
                <wp:posOffset>4090137</wp:posOffset>
              </wp:positionH>
              <wp:positionV relativeFrom="paragraph">
                <wp:posOffset>499110</wp:posOffset>
              </wp:positionV>
              <wp:extent cx="1701165" cy="489585"/>
              <wp:effectExtent l="0" t="0" r="0" b="571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1165" cy="48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CDDC6" w14:textId="77777777" w:rsidR="00B5299A" w:rsidRPr="002B343B" w:rsidRDefault="00B5299A" w:rsidP="00B5299A">
                          <w:pPr>
                            <w:spacing w:line="240" w:lineRule="auto"/>
                            <w:rPr>
                              <w:rFonts w:ascii="Arial" w:hAnsi="Arial"/>
                              <w:b/>
                              <w:sz w:val="16"/>
                            </w:rPr>
                          </w:pPr>
                          <w:r w:rsidRPr="002B343B">
                            <w:rPr>
                              <w:rFonts w:ascii="Arial" w:hAnsi="Arial"/>
                              <w:b/>
                              <w:sz w:val="16"/>
                            </w:rPr>
                            <w:t>DIRECCIÓN GENERAL</w:t>
                          </w:r>
                        </w:p>
                        <w:p w14:paraId="0A64EFE4" w14:textId="77777777" w:rsidR="00B5299A" w:rsidRDefault="00B5299A" w:rsidP="00B5299A">
                          <w:pPr>
                            <w:spacing w:line="240" w:lineRule="auto"/>
                            <w:rPr>
                              <w:rFonts w:ascii="Arial" w:hAnsi="Arial"/>
                              <w:b/>
                              <w:sz w:val="16"/>
                            </w:rPr>
                          </w:pPr>
                          <w:r w:rsidRPr="002B343B">
                            <w:rPr>
                              <w:rFonts w:ascii="Arial" w:hAnsi="Arial"/>
                              <w:b/>
                              <w:sz w:val="16"/>
                            </w:rPr>
                            <w:t>DE ORDENACIÓN PROFESIONAL</w:t>
                          </w:r>
                        </w:p>
                        <w:p w14:paraId="5D53B426" w14:textId="77777777" w:rsidR="00B5299A" w:rsidRPr="002B343B" w:rsidRDefault="00B5299A" w:rsidP="00B5299A">
                          <w:pPr>
                            <w:rPr>
                              <w:rFonts w:ascii="Arial" w:hAnsi="Arial"/>
                              <w:b/>
                              <w:sz w:val="16"/>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type w14:anchorId="584A15B6" id="_x0000_t202" coordsize="21600,21600" o:spt="202" path="m,l,21600r21600,l21600,xe">
              <v:stroke joinstyle="miter"/>
              <v:path gradientshapeok="t" o:connecttype="rect"/>
            </v:shapetype>
            <v:shape id="Text Box 5" o:spid="_x0000_s1026" type="#_x0000_t202" style="position:absolute;margin-left:322.05pt;margin-top:39.3pt;width:133.95pt;height:3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" stroked="f">
              <v:path arrowok="t"/>
              <v:textbox inset="0,,0">
                <w:txbxContent>
                  <w:p w:rsidR="00B5299A" w:rsidRPr="002B343B" w:rsidRDefault="00B5299A" w:rsidP="00B5299A">
                    <w:pPr>
                      <w:spacing w:line="240" w:lineRule="auto"/>
                      <w:rPr>
                        <w:rFonts w:ascii="Arial" w:hAnsi="Arial"/>
                        <w:b/>
                        <w:sz w:val="16"/>
                      </w:rPr>
                    </w:pPr>
                    <w:r w:rsidRPr="002B343B">
                      <w:rPr>
                        <w:rFonts w:ascii="Arial" w:hAnsi="Arial"/>
                        <w:b/>
                        <w:sz w:val="16"/>
                      </w:rPr>
                      <w:t>DIRECCIÓN GENERAL</w:t>
                    </w:r>
                  </w:p>
                  <w:p w:rsidR="00B5299A" w:rsidRDefault="00B5299A" w:rsidP="00B5299A">
                    <w:pPr>
                      <w:spacing w:line="240" w:lineRule="auto"/>
                      <w:rPr>
                        <w:rFonts w:ascii="Arial" w:hAnsi="Arial"/>
                        <w:b/>
                        <w:sz w:val="16"/>
                      </w:rPr>
                    </w:pPr>
                    <w:r w:rsidRPr="002B343B">
                      <w:rPr>
                        <w:rFonts w:ascii="Arial" w:hAnsi="Arial"/>
                        <w:b/>
                        <w:sz w:val="16"/>
                      </w:rPr>
                      <w:t>DE ORDENACIÓN PROFESIONAL</w:t>
                    </w:r>
                  </w:p>
                  <w:p w:rsidR="00B5299A" w:rsidRPr="002B343B" w:rsidRDefault="00B5299A" w:rsidP="00B5299A">
                    <w:pPr>
                      <w:rPr>
                        <w:rFonts w:ascii="Arial" w:hAnsi="Arial"/>
                        <w:b/>
                        <w:sz w:val="16"/>
                      </w:rPr>
                    </w:pPr>
                  </w:p>
                </w:txbxContent>
              </v:textbox>
            </v:shape>
          </w:pict>
        </mc:Fallback>
      </mc:AlternateContent>
    </w:r>
    <w:r w:rsidRPr="00B5299A">
      <w:rPr>
        <w:noProof/>
        <w:lang w:eastAsia="es-ES"/>
      </w:rPr>
      <mc:AlternateContent>
        <mc:Choice Requires="wps">
          <w:drawing>
            <wp:anchor distT="0" distB="0" distL="114300" distR="114300" simplePos="0" relativeHeight="251661312" behindDoc="0" locked="0" layoutInCell="1" allowOverlap="1" wp14:anchorId="69E992C7" wp14:editId="40B0D454">
              <wp:simplePos x="0" y="0"/>
              <wp:positionH relativeFrom="column">
                <wp:posOffset>4076065</wp:posOffset>
              </wp:positionH>
              <wp:positionV relativeFrom="paragraph">
                <wp:posOffset>-40005</wp:posOffset>
              </wp:positionV>
              <wp:extent cx="2128520" cy="438785"/>
              <wp:effectExtent l="0" t="0" r="24130" b="18415"/>
              <wp:wrapNone/>
              <wp:docPr id="6" name="6 Cuadro de texto"/>
              <wp:cNvGraphicFramePr/>
              <a:graphic xmlns:a="http://schemas.openxmlformats.org/drawingml/2006/main">
                <a:graphicData uri="http://schemas.microsoft.com/office/word/2010/wordprocessingShape">
                  <wps:wsp>
                    <wps:cNvSpPr txBox="1"/>
                    <wps:spPr>
                      <a:xfrm>
                        <a:off x="0" y="0"/>
                        <a:ext cx="2128520" cy="438785"/>
                      </a:xfrm>
                      <a:prstGeom prst="rect">
                        <a:avLst/>
                      </a:prstGeom>
                      <a:solidFill>
                        <a:sysClr val="window" lastClr="FFFFFF">
                          <a:lumMod val="85000"/>
                        </a:sysClr>
                      </a:solidFill>
                      <a:ln w="6350">
                        <a:solidFill>
                          <a:prstClr val="black"/>
                        </a:solidFill>
                      </a:ln>
                      <a:effectLst/>
                    </wps:spPr>
                    <wps:txbx>
                      <w:txbxContent>
                        <w:p w14:paraId="141710F7" w14:textId="77777777" w:rsidR="00B5299A" w:rsidRPr="002B343B" w:rsidRDefault="00B5299A" w:rsidP="00B5299A">
                          <w:pPr>
                            <w:rPr>
                              <w:rFonts w:ascii="Times New Roman" w:hAnsi="Times New Roman" w:cs="Times New Roman"/>
                              <w:b/>
                            </w:rPr>
                          </w:pPr>
                          <w:r w:rsidRPr="002B343B">
                            <w:rPr>
                              <w:rFonts w:ascii="Times New Roman" w:hAnsi="Times New Roman" w:cs="Times New Roman"/>
                              <w:b/>
                            </w:rPr>
                            <w:t>SECRETARÍA GENERAL DE SANIDAD Y CONSUMO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w14:anchorId="35EA6753" id="6 Cuadro de texto" o:spid="_x0000_s1027" type="#_x0000_t202" style="position:absolute;margin-left:320.95pt;margin-top:-3.15pt;width:167.6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" fillcolor="#d9d9d9" strokeweight=".5pt">
              <v:textbox>
                <w:txbxContent>
                  <w:p w:rsidR="00B5299A" w:rsidRPr="002B343B" w:rsidRDefault="00B5299A" w:rsidP="00B5299A">
                    <w:pPr>
                      <w:rPr>
                        <w:rFonts w:ascii="Times New Roman" w:hAnsi="Times New Roman" w:cs="Times New Roman"/>
                        <w:b/>
                      </w:rPr>
                    </w:pPr>
                    <w:r w:rsidRPr="002B343B">
                      <w:rPr>
                        <w:rFonts w:ascii="Times New Roman" w:hAnsi="Times New Roman" w:cs="Times New Roman"/>
                        <w:b/>
                      </w:rPr>
                      <w:t>SECRETARÍA GENERAL DE SANIDAD Y CONSUMO</w:t>
                    </w:r>
                  </w:p>
                </w:txbxContent>
              </v:textbox>
            </v:shape>
          </w:pict>
        </mc:Fallback>
      </mc:AlternateContent>
    </w:r>
    <w:r w:rsidR="00B5299A" w:rsidRPr="00B5299A">
      <w:rPr>
        <w:noProof/>
        <w:lang w:eastAsia="es-ES"/>
      </w:rPr>
      <w:drawing>
        <wp:inline distT="0" distB="0" distL="0" distR="0" wp14:anchorId="5ACE73E7" wp14:editId="3D415982">
          <wp:extent cx="1506931" cy="709575"/>
          <wp:effectExtent l="0" t="0" r="0" b="0"/>
          <wp:docPr id="3" name="Imagen 3" descr="ESCUDOBNPPO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SCUDOBNPPOI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878" cy="710492"/>
                  </a:xfrm>
                  <a:prstGeom prst="rect">
                    <a:avLst/>
                  </a:prstGeom>
                  <a:noFill/>
                  <a:ln>
                    <a:noFill/>
                  </a:ln>
                </pic:spPr>
              </pic:pic>
            </a:graphicData>
          </a:graphic>
        </wp:inline>
      </w:drawing>
    </w:r>
    <w:r w:rsidR="00B5299A" w:rsidRPr="00B5299A">
      <w:rPr>
        <w:noProof/>
        <w:lang w:eastAsia="es-ES"/>
      </w:rPr>
      <mc:AlternateContent>
        <mc:Choice Requires="wps">
          <w:drawing>
            <wp:anchor distT="0" distB="0" distL="114300" distR="114300" simplePos="0" relativeHeight="251659264" behindDoc="0" locked="0" layoutInCell="0" allowOverlap="1" wp14:anchorId="0F139BFB" wp14:editId="7E53B828">
              <wp:simplePos x="0" y="0"/>
              <wp:positionH relativeFrom="column">
                <wp:posOffset>946150</wp:posOffset>
              </wp:positionH>
              <wp:positionV relativeFrom="paragraph">
                <wp:posOffset>-3759</wp:posOffset>
              </wp:positionV>
              <wp:extent cx="2896235" cy="629107"/>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6235" cy="6291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14946" w14:textId="77777777" w:rsidR="00B5299A" w:rsidRPr="00B5299A" w:rsidRDefault="00B5299A" w:rsidP="00B5299A">
                          <w:pPr>
                            <w:pStyle w:val="Ttulo4"/>
                            <w:rPr>
                              <w:rFonts w:ascii="Arial" w:hAnsi="Arial"/>
                              <w:b w:val="0"/>
                              <w:color w:val="auto"/>
                            </w:rPr>
                          </w:pPr>
                          <w:r w:rsidRPr="00B5299A">
                            <w:rPr>
                              <w:rFonts w:ascii="Arial" w:hAnsi="Arial"/>
                              <w:b w:val="0"/>
                              <w:color w:val="auto"/>
                            </w:rPr>
                            <w:t xml:space="preserve">MINISTERIO </w:t>
                          </w:r>
                          <w:r w:rsidRPr="00B5299A">
                            <w:rPr>
                              <w:rFonts w:ascii="Arial" w:hAnsi="Arial"/>
                              <w:b w:val="0"/>
                              <w:color w:val="auto"/>
                              <w:sz w:val="24"/>
                            </w:rPr>
                            <w:t>DE SANIDAD, SERVICIOS SOCIALES E IGUALDAD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w14:anchorId="3F355E26" id="Text Box 1" o:spid="_x0000_s1028" type="#_x0000_t202" style="position:absolute;margin-left:74.5pt;margin-top:-.3pt;width:228.05pt;height:4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" o:allowincell="f" stroked="f">
              <v:path arrowok="t"/>
              <v:textbox>
                <w:txbxContent>
                  <w:p w:rsidR="00B5299A" w:rsidRPr="00B5299A" w:rsidRDefault="00B5299A" w:rsidP="00B5299A">
                    <w:pPr>
                      <w:pStyle w:val="Ttulo4"/>
                      <w:rPr>
                        <w:rFonts w:ascii="Arial" w:hAnsi="Arial"/>
                        <w:b w:val="0"/>
                        <w:color w:val="auto"/>
                      </w:rPr>
                    </w:pPr>
                    <w:r w:rsidRPr="00B5299A">
                      <w:rPr>
                        <w:rFonts w:ascii="Arial" w:hAnsi="Arial"/>
                        <w:b w:val="0"/>
                        <w:color w:val="auto"/>
                      </w:rPr>
                      <w:t xml:space="preserve">MINISTERIO </w:t>
                    </w:r>
                    <w:r w:rsidRPr="00B5299A">
                      <w:rPr>
                        <w:rFonts w:ascii="Arial" w:hAnsi="Arial"/>
                        <w:b w:val="0"/>
                        <w:color w:val="auto"/>
                        <w:sz w:val="24"/>
                      </w:rPr>
                      <w:t>DE SANIDAD, SERVICIOS SOCIALES E IGUALDAD</w:t>
                    </w:r>
                  </w:p>
                </w:txbxContent>
              </v:textbox>
            </v:shape>
          </w:pict>
        </mc:Fallback>
      </mc:AlternateContent>
    </w:r>
    <w:r w:rsidR="00B5299A" w:rsidRPr="00B5299A">
      <w:tab/>
    </w:r>
  </w:p>
  <w:p w14:paraId="195C54A9" w14:textId="77777777" w:rsidR="00B5299A" w:rsidRDefault="00B5299A">
    <w:pPr>
      <w:pStyle w:val="Encabezado"/>
    </w:pPr>
  </w:p>
  <w:p w14:paraId="06289C1C" w14:textId="77777777" w:rsidR="00B5299A" w:rsidRDefault="00B5299A">
    <w:pPr>
      <w:pStyle w:val="Encabezado"/>
    </w:pPr>
  </w:p>
  <w:p w14:paraId="5EF980F0" w14:textId="77777777" w:rsidR="00B5299A" w:rsidRDefault="00B5299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16"/>
    <w:rsid w:val="00034B92"/>
    <w:rsid w:val="00042CC3"/>
    <w:rsid w:val="0008619F"/>
    <w:rsid w:val="000A19AC"/>
    <w:rsid w:val="000B45B6"/>
    <w:rsid w:val="000B5B18"/>
    <w:rsid w:val="000C2E27"/>
    <w:rsid w:val="000D4908"/>
    <w:rsid w:val="000E2D93"/>
    <w:rsid w:val="000E55CE"/>
    <w:rsid w:val="000F58B8"/>
    <w:rsid w:val="00112EF0"/>
    <w:rsid w:val="0012104A"/>
    <w:rsid w:val="00135AEA"/>
    <w:rsid w:val="00135B46"/>
    <w:rsid w:val="001928AA"/>
    <w:rsid w:val="001D5B85"/>
    <w:rsid w:val="0023122B"/>
    <w:rsid w:val="00255BA9"/>
    <w:rsid w:val="002854A3"/>
    <w:rsid w:val="002E623E"/>
    <w:rsid w:val="003138D1"/>
    <w:rsid w:val="00334FEC"/>
    <w:rsid w:val="00367B1D"/>
    <w:rsid w:val="00373BC2"/>
    <w:rsid w:val="003774B2"/>
    <w:rsid w:val="003D6AE3"/>
    <w:rsid w:val="003E6046"/>
    <w:rsid w:val="004461BB"/>
    <w:rsid w:val="00464C70"/>
    <w:rsid w:val="00465345"/>
    <w:rsid w:val="004C411F"/>
    <w:rsid w:val="004E0393"/>
    <w:rsid w:val="004E1F02"/>
    <w:rsid w:val="004F2902"/>
    <w:rsid w:val="00505BB7"/>
    <w:rsid w:val="00510160"/>
    <w:rsid w:val="005249EE"/>
    <w:rsid w:val="00557567"/>
    <w:rsid w:val="00575767"/>
    <w:rsid w:val="005C60ED"/>
    <w:rsid w:val="006155D3"/>
    <w:rsid w:val="00625FCE"/>
    <w:rsid w:val="00633E81"/>
    <w:rsid w:val="006356A4"/>
    <w:rsid w:val="00677C9A"/>
    <w:rsid w:val="006940A9"/>
    <w:rsid w:val="00694C33"/>
    <w:rsid w:val="006E0A07"/>
    <w:rsid w:val="006E77B1"/>
    <w:rsid w:val="006F1D6A"/>
    <w:rsid w:val="00700CB5"/>
    <w:rsid w:val="007063CD"/>
    <w:rsid w:val="0073106E"/>
    <w:rsid w:val="00755F0D"/>
    <w:rsid w:val="00756BC6"/>
    <w:rsid w:val="007E5389"/>
    <w:rsid w:val="007E7CB5"/>
    <w:rsid w:val="00815D01"/>
    <w:rsid w:val="00825FDE"/>
    <w:rsid w:val="00841BD7"/>
    <w:rsid w:val="00845AF2"/>
    <w:rsid w:val="008C4A31"/>
    <w:rsid w:val="008E5F9D"/>
    <w:rsid w:val="008F6F7C"/>
    <w:rsid w:val="00905576"/>
    <w:rsid w:val="0097045E"/>
    <w:rsid w:val="0097055E"/>
    <w:rsid w:val="009A25C5"/>
    <w:rsid w:val="009C11BA"/>
    <w:rsid w:val="009E2F3D"/>
    <w:rsid w:val="00A276FE"/>
    <w:rsid w:val="00A33C89"/>
    <w:rsid w:val="00A403DB"/>
    <w:rsid w:val="00A40680"/>
    <w:rsid w:val="00A619B2"/>
    <w:rsid w:val="00A92038"/>
    <w:rsid w:val="00AB6D36"/>
    <w:rsid w:val="00AC4A02"/>
    <w:rsid w:val="00AC50C5"/>
    <w:rsid w:val="00AC6589"/>
    <w:rsid w:val="00AF12CA"/>
    <w:rsid w:val="00B02C7C"/>
    <w:rsid w:val="00B319AA"/>
    <w:rsid w:val="00B5299A"/>
    <w:rsid w:val="00B851BF"/>
    <w:rsid w:val="00BA1237"/>
    <w:rsid w:val="00BF0EB4"/>
    <w:rsid w:val="00C07F2E"/>
    <w:rsid w:val="00C147F2"/>
    <w:rsid w:val="00C66A00"/>
    <w:rsid w:val="00C95CFD"/>
    <w:rsid w:val="00CB3ABE"/>
    <w:rsid w:val="00CB5B13"/>
    <w:rsid w:val="00DA111D"/>
    <w:rsid w:val="00DA56A7"/>
    <w:rsid w:val="00DF4B7D"/>
    <w:rsid w:val="00E01C16"/>
    <w:rsid w:val="00E106AF"/>
    <w:rsid w:val="00E24C36"/>
    <w:rsid w:val="00E43D34"/>
    <w:rsid w:val="00E4712B"/>
    <w:rsid w:val="00E516A6"/>
    <w:rsid w:val="00E644B4"/>
    <w:rsid w:val="00EB3730"/>
    <w:rsid w:val="00EE139F"/>
    <w:rsid w:val="00EF1489"/>
    <w:rsid w:val="00EF4F74"/>
    <w:rsid w:val="00F67242"/>
    <w:rsid w:val="00F84A73"/>
    <w:rsid w:val="00FA6EB9"/>
    <w:rsid w:val="00FD3F39"/>
    <w:rsid w:val="00FD71D0"/>
    <w:rsid w:val="00FE6C4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95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16"/>
  </w:style>
  <w:style w:type="paragraph" w:styleId="Ttulo4">
    <w:name w:val="heading 4"/>
    <w:basedOn w:val="Normal"/>
    <w:next w:val="Normal"/>
    <w:link w:val="Ttulo4Car"/>
    <w:uiPriority w:val="9"/>
    <w:unhideWhenUsed/>
    <w:qFormat/>
    <w:rsid w:val="00B529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01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01C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1C16"/>
  </w:style>
  <w:style w:type="paragraph" w:styleId="Piedepgina">
    <w:name w:val="footer"/>
    <w:basedOn w:val="Normal"/>
    <w:link w:val="PiedepginaCar"/>
    <w:uiPriority w:val="99"/>
    <w:unhideWhenUsed/>
    <w:rsid w:val="00E01C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1C16"/>
  </w:style>
  <w:style w:type="paragraph" w:styleId="Textodeglobo">
    <w:name w:val="Balloon Text"/>
    <w:basedOn w:val="Normal"/>
    <w:link w:val="TextodegloboCar"/>
    <w:uiPriority w:val="99"/>
    <w:semiHidden/>
    <w:unhideWhenUsed/>
    <w:rsid w:val="004F29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902"/>
    <w:rPr>
      <w:rFonts w:ascii="Tahoma" w:hAnsi="Tahoma" w:cs="Tahoma"/>
      <w:sz w:val="16"/>
      <w:szCs w:val="16"/>
    </w:rPr>
  </w:style>
  <w:style w:type="character" w:customStyle="1" w:styleId="Ttulo4Car">
    <w:name w:val="Título 4 Car"/>
    <w:basedOn w:val="Fuentedeprrafopredeter"/>
    <w:link w:val="Ttulo4"/>
    <w:uiPriority w:val="9"/>
    <w:rsid w:val="00B5299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16"/>
  </w:style>
  <w:style w:type="paragraph" w:styleId="Ttulo4">
    <w:name w:val="heading 4"/>
    <w:basedOn w:val="Normal"/>
    <w:next w:val="Normal"/>
    <w:link w:val="Ttulo4Car"/>
    <w:uiPriority w:val="9"/>
    <w:unhideWhenUsed/>
    <w:qFormat/>
    <w:rsid w:val="00B529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01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01C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1C16"/>
  </w:style>
  <w:style w:type="paragraph" w:styleId="Piedepgina">
    <w:name w:val="footer"/>
    <w:basedOn w:val="Normal"/>
    <w:link w:val="PiedepginaCar"/>
    <w:uiPriority w:val="99"/>
    <w:unhideWhenUsed/>
    <w:rsid w:val="00E01C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1C16"/>
  </w:style>
  <w:style w:type="paragraph" w:styleId="Textodeglobo">
    <w:name w:val="Balloon Text"/>
    <w:basedOn w:val="Normal"/>
    <w:link w:val="TextodegloboCar"/>
    <w:uiPriority w:val="99"/>
    <w:semiHidden/>
    <w:unhideWhenUsed/>
    <w:rsid w:val="004F29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902"/>
    <w:rPr>
      <w:rFonts w:ascii="Tahoma" w:hAnsi="Tahoma" w:cs="Tahoma"/>
      <w:sz w:val="16"/>
      <w:szCs w:val="16"/>
    </w:rPr>
  </w:style>
  <w:style w:type="character" w:customStyle="1" w:styleId="Ttulo4Car">
    <w:name w:val="Título 4 Car"/>
    <w:basedOn w:val="Fuentedeprrafopredeter"/>
    <w:link w:val="Ttulo4"/>
    <w:uiPriority w:val="9"/>
    <w:rsid w:val="00B5299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7758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Ministerio de Sanidad, Servicios Sociales e Igualdad</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Bronchalo Zurita</dc:creator>
  <cp:lastModifiedBy>Abella Jover, Blanca (Servimedia.net)</cp:lastModifiedBy>
  <cp:revision>2</cp:revision>
  <cp:lastPrinted>2017-10-27T12:08:00Z</cp:lastPrinted>
  <dcterms:created xsi:type="dcterms:W3CDTF">2018-02-26T10:26:00Z</dcterms:created>
  <dcterms:modified xsi:type="dcterms:W3CDTF">2018-02-26T10:26:00Z</dcterms:modified>
</cp:coreProperties>
</file>