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55" w:rsidRPr="003A3C55" w:rsidRDefault="003A3C55" w:rsidP="003A3C55">
      <w:pPr>
        <w:pStyle w:val="parrafo"/>
        <w:shd w:val="clear" w:color="auto" w:fill="FFFFFF"/>
        <w:spacing w:before="180" w:after="180" w:line="360" w:lineRule="auto"/>
        <w:jc w:val="center"/>
        <w:rPr>
          <w:rFonts w:ascii="Arial" w:hAnsi="Arial" w:cs="Arial"/>
          <w:b/>
          <w:sz w:val="28"/>
          <w:szCs w:val="28"/>
        </w:rPr>
      </w:pPr>
      <w:r w:rsidRPr="003A3C55">
        <w:rPr>
          <w:rFonts w:ascii="Arial" w:hAnsi="Arial" w:cs="Arial"/>
          <w:noProof/>
          <w:sz w:val="28"/>
          <w:szCs w:val="28"/>
          <w:lang w:val="es-ES"/>
        </w:rPr>
        <w:drawing>
          <wp:inline distT="0" distB="0" distL="0" distR="0" wp14:anchorId="575A2A6E" wp14:editId="391AA118">
            <wp:extent cx="1482302" cy="98238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2302" cy="982385"/>
                    </a:xfrm>
                    <a:prstGeom prst="rect">
                      <a:avLst/>
                    </a:prstGeom>
                    <a:noFill/>
                    <a:ln>
                      <a:noFill/>
                    </a:ln>
                  </pic:spPr>
                </pic:pic>
              </a:graphicData>
            </a:graphic>
          </wp:inline>
        </w:drawing>
      </w:r>
    </w:p>
    <w:p w:rsidR="009966D4" w:rsidRPr="003A3C55" w:rsidRDefault="003A3C55">
      <w:pPr>
        <w:pStyle w:val="parrafo"/>
        <w:shd w:val="clear" w:color="auto" w:fill="FFFFFF"/>
        <w:spacing w:before="180" w:after="180" w:line="360" w:lineRule="auto"/>
        <w:jc w:val="both"/>
        <w:rPr>
          <w:rStyle w:val="Ninguno"/>
          <w:rFonts w:ascii="Arial" w:hAnsi="Arial" w:cs="Arial"/>
          <w:b/>
          <w:bCs/>
          <w:sz w:val="28"/>
          <w:szCs w:val="28"/>
        </w:rPr>
      </w:pPr>
      <w:bookmarkStart w:id="0" w:name="_GoBack"/>
      <w:r w:rsidRPr="003A3C55">
        <w:rPr>
          <w:rFonts w:ascii="Arial" w:hAnsi="Arial" w:cs="Arial"/>
          <w:b/>
          <w:sz w:val="28"/>
          <w:szCs w:val="28"/>
        </w:rPr>
        <w:t xml:space="preserve">INFORME SOBRE LOS ASPECTOS DE DISCAPACIDAD DEL </w:t>
      </w:r>
      <w:r w:rsidRPr="003A3C55">
        <w:rPr>
          <w:rStyle w:val="Ninguno"/>
          <w:rFonts w:ascii="Arial" w:hAnsi="Arial" w:cs="Arial"/>
          <w:b/>
          <w:bCs/>
          <w:sz w:val="28"/>
          <w:szCs w:val="28"/>
        </w:rPr>
        <w:t>ACUERDO GOBIERNO DE ESPAÑA-SINDICATOS PARA LA MEJORA DEL EMPLEO PÚBLICO Y LAS CONDICIONES DE TRABAJO</w:t>
      </w:r>
    </w:p>
    <w:bookmarkEnd w:id="0"/>
    <w:p w:rsidR="003A3C55" w:rsidRPr="003A3C55" w:rsidRDefault="003A3C55" w:rsidP="003A3C55">
      <w:pPr>
        <w:pStyle w:val="parrafo"/>
        <w:shd w:val="clear" w:color="auto" w:fill="FFFFFF"/>
        <w:spacing w:before="180" w:after="180" w:line="360" w:lineRule="auto"/>
        <w:jc w:val="center"/>
        <w:rPr>
          <w:rStyle w:val="Ninguno"/>
          <w:rFonts w:ascii="Arial" w:hAnsi="Arial" w:cs="Arial"/>
          <w:b/>
          <w:bCs/>
          <w:sz w:val="28"/>
          <w:szCs w:val="28"/>
        </w:rPr>
      </w:pPr>
      <w:r w:rsidRPr="003A3C55">
        <w:rPr>
          <w:rStyle w:val="Ninguno"/>
          <w:rFonts w:ascii="Arial" w:hAnsi="Arial" w:cs="Arial"/>
          <w:b/>
          <w:bCs/>
          <w:sz w:val="28"/>
          <w:szCs w:val="28"/>
        </w:rPr>
        <w:t>********</w:t>
      </w:r>
    </w:p>
    <w:p w:rsidR="009966D4" w:rsidRPr="003A3C55" w:rsidRDefault="003A3C55">
      <w:pPr>
        <w:pStyle w:val="parrafo"/>
        <w:shd w:val="clear" w:color="auto" w:fill="FFFFFF"/>
        <w:spacing w:before="180" w:after="180" w:line="360" w:lineRule="auto"/>
        <w:jc w:val="both"/>
        <w:rPr>
          <w:rFonts w:ascii="Arial" w:hAnsi="Arial" w:cs="Arial"/>
          <w:sz w:val="28"/>
          <w:szCs w:val="28"/>
        </w:rPr>
      </w:pPr>
      <w:r w:rsidRPr="003A3C55">
        <w:rPr>
          <w:rFonts w:ascii="Arial" w:hAnsi="Arial" w:cs="Arial"/>
          <w:sz w:val="28"/>
          <w:szCs w:val="28"/>
        </w:rPr>
        <w:t>El 26 de marzo de 2018 se ha publicado en el Boletín Oficial del Estado la Resolución de 22 de marzo de 2018, de la Secretaría de Estado de Función Pública del Ministerio de Hacienda y Función Pública, por la que se publica el II Acuerdo Gobierno-Sindicatos para la mejora del empleo público y las condiciones de trabajo.</w:t>
      </w:r>
    </w:p>
    <w:p w:rsidR="009966D4" w:rsidRPr="003A3C55" w:rsidRDefault="003A3C55">
      <w:pPr>
        <w:pStyle w:val="parrafo"/>
        <w:shd w:val="clear" w:color="auto" w:fill="FFFFFF"/>
        <w:spacing w:before="180" w:after="180" w:line="360" w:lineRule="auto"/>
        <w:jc w:val="both"/>
        <w:rPr>
          <w:rStyle w:val="Ninguno"/>
          <w:rFonts w:ascii="Arial" w:hAnsi="Arial" w:cs="Arial"/>
          <w:b/>
          <w:bCs/>
          <w:color w:val="333333"/>
          <w:sz w:val="28"/>
          <w:szCs w:val="28"/>
          <w:u w:color="333333"/>
        </w:rPr>
      </w:pPr>
      <w:r w:rsidRPr="003A3C55">
        <w:rPr>
          <w:rFonts w:ascii="Arial" w:hAnsi="Arial" w:cs="Arial"/>
          <w:sz w:val="28"/>
          <w:szCs w:val="28"/>
        </w:rPr>
        <w:t>Incorpora, a demanda del CERMI,</w:t>
      </w:r>
      <w:r w:rsidRPr="003A3C55">
        <w:rPr>
          <w:rStyle w:val="Ninguno"/>
          <w:rFonts w:ascii="Arial" w:hAnsi="Arial" w:cs="Arial"/>
          <w:b/>
          <w:bCs/>
          <w:color w:val="333333"/>
          <w:sz w:val="28"/>
          <w:szCs w:val="28"/>
          <w:u w:color="333333"/>
        </w:rPr>
        <w:t xml:space="preserve"> previsiones relevantes para las familias de los empleados públicos en las que hay una persona con discapacidad.</w:t>
      </w:r>
    </w:p>
    <w:p w:rsidR="009966D4" w:rsidRPr="003A3C55" w:rsidRDefault="003A3C55">
      <w:pPr>
        <w:pStyle w:val="parrafo"/>
        <w:shd w:val="clear" w:color="auto" w:fill="FFFFFF"/>
        <w:spacing w:before="180" w:after="180" w:line="360" w:lineRule="auto"/>
        <w:jc w:val="both"/>
        <w:rPr>
          <w:rStyle w:val="Ninguno"/>
          <w:rFonts w:ascii="Arial" w:hAnsi="Arial" w:cs="Arial"/>
          <w:color w:val="333333"/>
          <w:sz w:val="28"/>
          <w:szCs w:val="28"/>
          <w:u w:color="333333"/>
        </w:rPr>
      </w:pPr>
      <w:r w:rsidRPr="003A3C55">
        <w:rPr>
          <w:rStyle w:val="Ninguno"/>
          <w:rFonts w:ascii="Arial" w:hAnsi="Arial" w:cs="Arial"/>
          <w:color w:val="333333"/>
          <w:sz w:val="28"/>
          <w:szCs w:val="28"/>
          <w:u w:color="333333"/>
        </w:rPr>
        <w:lastRenderedPageBreak/>
        <w:t>Así, el apartado cuarto del Acuerdo, que estipula m</w:t>
      </w:r>
      <w:r w:rsidRPr="003A3C55">
        <w:rPr>
          <w:rFonts w:ascii="Arial" w:hAnsi="Arial" w:cs="Arial"/>
          <w:sz w:val="28"/>
          <w:szCs w:val="28"/>
        </w:rPr>
        <w:t>edidas en materia de jornada de trabajo y de conciliación del personal al servicio de las Administraciones Públicas, dispone:</w:t>
      </w:r>
    </w:p>
    <w:p w:rsidR="009966D4" w:rsidRPr="003A3C55" w:rsidRDefault="003A3C55">
      <w:pPr>
        <w:pStyle w:val="parrafo"/>
        <w:shd w:val="clear" w:color="auto" w:fill="FFFFFF"/>
        <w:spacing w:before="180" w:after="180" w:line="360" w:lineRule="auto"/>
        <w:ind w:left="284" w:right="284"/>
        <w:jc w:val="both"/>
        <w:rPr>
          <w:rStyle w:val="Ninguno"/>
          <w:rFonts w:ascii="Arial" w:hAnsi="Arial" w:cs="Arial"/>
          <w:b/>
          <w:bCs/>
          <w:i/>
          <w:iCs/>
          <w:color w:val="333333"/>
          <w:sz w:val="28"/>
          <w:szCs w:val="28"/>
          <w:u w:color="333333"/>
        </w:rPr>
      </w:pPr>
      <w:r w:rsidRPr="003A3C55">
        <w:rPr>
          <w:rStyle w:val="Ninguno"/>
          <w:rFonts w:ascii="Arial" w:hAnsi="Arial" w:cs="Arial"/>
          <w:b/>
          <w:bCs/>
          <w:i/>
          <w:iCs/>
          <w:color w:val="333333"/>
          <w:sz w:val="28"/>
          <w:szCs w:val="28"/>
          <w:u w:color="333333"/>
        </w:rPr>
        <w:t>2.</w:t>
      </w:r>
      <w:r w:rsidRPr="003A3C55">
        <w:rPr>
          <w:rStyle w:val="Ninguno"/>
          <w:rFonts w:ascii="Arial" w:hAnsi="Arial" w:cs="Arial"/>
          <w:b/>
          <w:bCs/>
          <w:color w:val="333333"/>
          <w:sz w:val="28"/>
          <w:szCs w:val="28"/>
          <w:u w:color="333333"/>
        </w:rPr>
        <w:t> </w:t>
      </w:r>
      <w:r w:rsidRPr="003A3C55">
        <w:rPr>
          <w:rStyle w:val="Ninguno"/>
          <w:rFonts w:ascii="Arial" w:hAnsi="Arial" w:cs="Arial"/>
          <w:b/>
          <w:bCs/>
          <w:i/>
          <w:iCs/>
          <w:color w:val="333333"/>
          <w:sz w:val="28"/>
          <w:szCs w:val="28"/>
          <w:u w:color="333333"/>
        </w:rPr>
        <w:t xml:space="preserve">Cada Administración Pública, previa negociación colectiva, podrá regular una </w:t>
      </w:r>
      <w:r w:rsidRPr="003A3C55">
        <w:rPr>
          <w:rStyle w:val="Ninguno"/>
          <w:rFonts w:ascii="Arial" w:hAnsi="Arial" w:cs="Arial"/>
          <w:b/>
          <w:bCs/>
          <w:i/>
          <w:iCs/>
          <w:color w:val="333333"/>
          <w:sz w:val="28"/>
          <w:szCs w:val="28"/>
          <w:u w:val="single" w:color="333333"/>
        </w:rPr>
        <w:t>bolsa de horas de libre disposición acumulables entre sí, de hasta un 5 % de la jornada anual,</w:t>
      </w:r>
      <w:r w:rsidRPr="003A3C55">
        <w:rPr>
          <w:rStyle w:val="Ninguno"/>
          <w:rFonts w:ascii="Arial" w:hAnsi="Arial" w:cs="Arial"/>
          <w:b/>
          <w:bCs/>
          <w:i/>
          <w:iCs/>
          <w:color w:val="333333"/>
          <w:sz w:val="28"/>
          <w:szCs w:val="28"/>
          <w:u w:color="333333"/>
        </w:rPr>
        <w:t xml:space="preserve"> con carácter recuperable en el periodo de tiempo que así se determine, y dirigida de forma justificada a la atención a medidas de conciliación para el </w:t>
      </w:r>
      <w:r w:rsidRPr="003A3C55">
        <w:rPr>
          <w:rStyle w:val="Ninguno"/>
          <w:rFonts w:ascii="Arial" w:hAnsi="Arial" w:cs="Arial"/>
          <w:b/>
          <w:bCs/>
          <w:i/>
          <w:iCs/>
          <w:color w:val="333333"/>
          <w:sz w:val="28"/>
          <w:szCs w:val="28"/>
          <w:u w:val="single" w:color="333333"/>
        </w:rPr>
        <w:t>cuidado y atención de</w:t>
      </w:r>
      <w:r w:rsidRPr="003A3C55">
        <w:rPr>
          <w:rStyle w:val="Ninguno"/>
          <w:rFonts w:ascii="Arial" w:hAnsi="Arial" w:cs="Arial"/>
          <w:b/>
          <w:bCs/>
          <w:i/>
          <w:iCs/>
          <w:color w:val="333333"/>
          <w:sz w:val="28"/>
          <w:szCs w:val="28"/>
          <w:u w:color="333333"/>
        </w:rPr>
        <w:t xml:space="preserve"> mayores, </w:t>
      </w:r>
      <w:r w:rsidRPr="003A3C55">
        <w:rPr>
          <w:rStyle w:val="Ninguno"/>
          <w:rFonts w:ascii="Arial" w:hAnsi="Arial" w:cs="Arial"/>
          <w:b/>
          <w:bCs/>
          <w:i/>
          <w:iCs/>
          <w:color w:val="333333"/>
          <w:sz w:val="28"/>
          <w:szCs w:val="28"/>
          <w:u w:val="single" w:color="333333"/>
        </w:rPr>
        <w:t>discapacitados,</w:t>
      </w:r>
      <w:r w:rsidRPr="003A3C55">
        <w:rPr>
          <w:rStyle w:val="Ninguno"/>
          <w:rFonts w:ascii="Arial" w:hAnsi="Arial" w:cs="Arial"/>
          <w:b/>
          <w:bCs/>
          <w:i/>
          <w:iCs/>
          <w:color w:val="333333"/>
          <w:sz w:val="28"/>
          <w:szCs w:val="28"/>
          <w:u w:color="333333"/>
        </w:rPr>
        <w:t xml:space="preserve"> e hijos menores, en los términos que en cada caso se determinen.</w:t>
      </w:r>
    </w:p>
    <w:p w:rsidR="009966D4" w:rsidRPr="003A3C55" w:rsidRDefault="003A3C55">
      <w:pPr>
        <w:pStyle w:val="parrafo"/>
        <w:shd w:val="clear" w:color="auto" w:fill="FFFFFF"/>
        <w:spacing w:before="180" w:after="180" w:line="360" w:lineRule="auto"/>
        <w:ind w:left="284" w:right="284"/>
        <w:jc w:val="both"/>
        <w:rPr>
          <w:rStyle w:val="Ninguno"/>
          <w:rFonts w:ascii="Arial" w:hAnsi="Arial" w:cs="Arial"/>
          <w:b/>
          <w:bCs/>
          <w:i/>
          <w:iCs/>
          <w:color w:val="333333"/>
          <w:sz w:val="28"/>
          <w:szCs w:val="28"/>
          <w:u w:val="single" w:color="333333"/>
        </w:rPr>
      </w:pPr>
      <w:r w:rsidRPr="003A3C55">
        <w:rPr>
          <w:rStyle w:val="Ninguno"/>
          <w:rFonts w:ascii="Arial" w:hAnsi="Arial" w:cs="Arial"/>
          <w:b/>
          <w:bCs/>
          <w:i/>
          <w:iCs/>
          <w:color w:val="333333"/>
          <w:sz w:val="28"/>
          <w:szCs w:val="28"/>
          <w:u w:color="333333"/>
        </w:rPr>
        <w:t xml:space="preserve">3. Igualmente, y en el caso de cuidado de hijos menores de 12 años o </w:t>
      </w:r>
      <w:r w:rsidRPr="003A3C55">
        <w:rPr>
          <w:rStyle w:val="Ninguno"/>
          <w:rFonts w:ascii="Arial" w:hAnsi="Arial" w:cs="Arial"/>
          <w:b/>
          <w:bCs/>
          <w:i/>
          <w:iCs/>
          <w:color w:val="333333"/>
          <w:sz w:val="28"/>
          <w:szCs w:val="28"/>
          <w:u w:val="single" w:color="333333"/>
        </w:rPr>
        <w:t>discapacitados,</w:t>
      </w:r>
      <w:r w:rsidRPr="003A3C55">
        <w:rPr>
          <w:rStyle w:val="Ninguno"/>
          <w:rFonts w:ascii="Arial" w:hAnsi="Arial" w:cs="Arial"/>
          <w:b/>
          <w:bCs/>
          <w:i/>
          <w:iCs/>
          <w:color w:val="333333"/>
          <w:sz w:val="28"/>
          <w:szCs w:val="28"/>
          <w:u w:color="333333"/>
        </w:rPr>
        <w:t xml:space="preserve"> podrá establecerse un </w:t>
      </w:r>
      <w:r w:rsidRPr="003A3C55">
        <w:rPr>
          <w:rStyle w:val="Ninguno"/>
          <w:rFonts w:ascii="Arial" w:hAnsi="Arial" w:cs="Arial"/>
          <w:b/>
          <w:bCs/>
          <w:i/>
          <w:iCs/>
          <w:color w:val="333333"/>
          <w:sz w:val="28"/>
          <w:szCs w:val="28"/>
          <w:u w:val="single" w:color="333333"/>
        </w:rPr>
        <w:t>sistema específico de jornada continua.</w:t>
      </w:r>
    </w:p>
    <w:p w:rsidR="009966D4" w:rsidRPr="003A3C55" w:rsidRDefault="003A3C55">
      <w:pPr>
        <w:pStyle w:val="Cuerpo"/>
        <w:spacing w:line="360" w:lineRule="auto"/>
        <w:jc w:val="both"/>
        <w:rPr>
          <w:rStyle w:val="Ninguno"/>
          <w:rFonts w:ascii="Arial" w:eastAsia="Times New Roman" w:hAnsi="Arial" w:cs="Arial"/>
          <w:sz w:val="28"/>
          <w:szCs w:val="28"/>
        </w:rPr>
      </w:pPr>
      <w:r w:rsidRPr="003A3C55">
        <w:rPr>
          <w:rStyle w:val="Ninguno"/>
          <w:rFonts w:ascii="Arial" w:hAnsi="Arial" w:cs="Arial"/>
          <w:sz w:val="28"/>
          <w:szCs w:val="28"/>
        </w:rPr>
        <w:t>Hay que subrayar que de momento solo estamos ante un mandato a las Administraciones Públicas, para que se concreten estos nuevos derechos en el ámbito de la negociación colectiva, por lo que habrá que estar vigilantes e instar a ello.</w:t>
      </w:r>
    </w:p>
    <w:p w:rsidR="009966D4" w:rsidRPr="003A3C55" w:rsidRDefault="009966D4">
      <w:pPr>
        <w:pStyle w:val="Cuerpo"/>
        <w:spacing w:line="360" w:lineRule="auto"/>
        <w:jc w:val="both"/>
        <w:rPr>
          <w:rFonts w:ascii="Arial" w:eastAsia="Times New Roman" w:hAnsi="Arial" w:cs="Arial"/>
          <w:sz w:val="28"/>
          <w:szCs w:val="28"/>
        </w:rPr>
      </w:pPr>
    </w:p>
    <w:p w:rsidR="009966D4" w:rsidRPr="003A3C55" w:rsidRDefault="009966D4">
      <w:pPr>
        <w:pStyle w:val="Cuerpo"/>
        <w:spacing w:line="360" w:lineRule="auto"/>
        <w:jc w:val="both"/>
        <w:rPr>
          <w:rFonts w:ascii="Arial" w:eastAsia="Times New Roman" w:hAnsi="Arial" w:cs="Arial"/>
          <w:sz w:val="28"/>
          <w:szCs w:val="28"/>
        </w:rPr>
      </w:pPr>
    </w:p>
    <w:p w:rsidR="009966D4" w:rsidRPr="003A3C55" w:rsidRDefault="003A3C55" w:rsidP="003A3C55">
      <w:pPr>
        <w:pStyle w:val="Cuerpo"/>
        <w:spacing w:line="360" w:lineRule="auto"/>
        <w:jc w:val="right"/>
        <w:rPr>
          <w:rStyle w:val="Ninguno"/>
          <w:rFonts w:ascii="Arial" w:eastAsia="Times New Roman" w:hAnsi="Arial" w:cs="Arial"/>
          <w:sz w:val="28"/>
          <w:szCs w:val="28"/>
        </w:rPr>
      </w:pPr>
      <w:r w:rsidRPr="003A3C55">
        <w:rPr>
          <w:rStyle w:val="Ninguno"/>
          <w:rFonts w:ascii="Arial" w:eastAsia="Times New Roman" w:hAnsi="Arial" w:cs="Arial"/>
          <w:sz w:val="28"/>
          <w:szCs w:val="28"/>
        </w:rPr>
        <w:tab/>
      </w:r>
      <w:r w:rsidRPr="003A3C55">
        <w:rPr>
          <w:rStyle w:val="Ninguno"/>
          <w:rFonts w:ascii="Arial" w:eastAsia="Times New Roman" w:hAnsi="Arial" w:cs="Arial"/>
          <w:sz w:val="28"/>
          <w:szCs w:val="28"/>
        </w:rPr>
        <w:tab/>
      </w:r>
      <w:r w:rsidRPr="003A3C55">
        <w:rPr>
          <w:rStyle w:val="Ninguno"/>
          <w:rFonts w:ascii="Arial" w:eastAsia="Times New Roman" w:hAnsi="Arial" w:cs="Arial"/>
          <w:sz w:val="28"/>
          <w:szCs w:val="28"/>
        </w:rPr>
        <w:tab/>
      </w:r>
      <w:r w:rsidRPr="003A3C55">
        <w:rPr>
          <w:rStyle w:val="Ninguno"/>
          <w:rFonts w:ascii="Arial" w:eastAsia="Times New Roman" w:hAnsi="Arial" w:cs="Arial"/>
          <w:sz w:val="28"/>
          <w:szCs w:val="28"/>
        </w:rPr>
        <w:tab/>
      </w:r>
      <w:r w:rsidRPr="003A3C55">
        <w:rPr>
          <w:rStyle w:val="Ninguno"/>
          <w:rFonts w:ascii="Arial" w:eastAsia="Times New Roman" w:hAnsi="Arial" w:cs="Arial"/>
          <w:sz w:val="28"/>
          <w:szCs w:val="28"/>
        </w:rPr>
        <w:tab/>
      </w:r>
      <w:r w:rsidRPr="003A3C55">
        <w:rPr>
          <w:rStyle w:val="Ninguno"/>
          <w:rFonts w:ascii="Arial" w:eastAsia="Times New Roman" w:hAnsi="Arial" w:cs="Arial"/>
          <w:sz w:val="28"/>
          <w:szCs w:val="28"/>
        </w:rPr>
        <w:tab/>
        <w:t>27 de marzo de 2018</w:t>
      </w:r>
      <w:r w:rsidRPr="003A3C55">
        <w:rPr>
          <w:rStyle w:val="Ninguno"/>
          <w:rFonts w:ascii="Arial" w:hAnsi="Arial" w:cs="Arial"/>
          <w:sz w:val="28"/>
          <w:szCs w:val="28"/>
        </w:rPr>
        <w:t>.</w:t>
      </w:r>
    </w:p>
    <w:p w:rsidR="009966D4" w:rsidRPr="003A3C55" w:rsidRDefault="009966D4">
      <w:pPr>
        <w:pStyle w:val="Cuerpo"/>
        <w:spacing w:line="360" w:lineRule="auto"/>
        <w:jc w:val="both"/>
        <w:rPr>
          <w:rStyle w:val="Ninguno"/>
          <w:rFonts w:ascii="Arial" w:eastAsia="Times New Roman" w:hAnsi="Arial" w:cs="Arial"/>
          <w:sz w:val="28"/>
          <w:szCs w:val="28"/>
        </w:rPr>
      </w:pPr>
    </w:p>
    <w:p w:rsidR="009966D4" w:rsidRPr="003A3C55" w:rsidRDefault="003A3C55" w:rsidP="003A3C55">
      <w:pPr>
        <w:pStyle w:val="Cuerpo"/>
        <w:spacing w:line="360" w:lineRule="auto"/>
        <w:jc w:val="center"/>
        <w:rPr>
          <w:rStyle w:val="Ninguno"/>
          <w:rFonts w:ascii="Arial" w:eastAsia="Times New Roman" w:hAnsi="Arial" w:cs="Arial"/>
          <w:b/>
          <w:sz w:val="28"/>
          <w:szCs w:val="28"/>
        </w:rPr>
      </w:pPr>
      <w:r w:rsidRPr="003A3C55">
        <w:rPr>
          <w:rStyle w:val="Ninguno"/>
          <w:rFonts w:ascii="Arial" w:hAnsi="Arial" w:cs="Arial"/>
          <w:b/>
          <w:sz w:val="28"/>
          <w:szCs w:val="28"/>
        </w:rPr>
        <w:t>Asesoría Jurídica del CERMI Estatal</w:t>
      </w:r>
    </w:p>
    <w:p w:rsidR="009966D4" w:rsidRPr="003A3C55" w:rsidRDefault="003A3C55" w:rsidP="003A3C55">
      <w:pPr>
        <w:pStyle w:val="Cuerpo"/>
        <w:spacing w:line="360" w:lineRule="auto"/>
        <w:jc w:val="center"/>
        <w:rPr>
          <w:rFonts w:ascii="Arial" w:hAnsi="Arial" w:cs="Arial"/>
          <w:b/>
          <w:sz w:val="28"/>
          <w:szCs w:val="28"/>
        </w:rPr>
      </w:pPr>
      <w:r w:rsidRPr="003A3C55">
        <w:rPr>
          <w:rStyle w:val="Ninguno"/>
          <w:rFonts w:ascii="Arial" w:hAnsi="Arial" w:cs="Arial"/>
          <w:b/>
          <w:sz w:val="28"/>
          <w:szCs w:val="28"/>
        </w:rPr>
        <w:t>www.cermi.es</w:t>
      </w:r>
    </w:p>
    <w:sectPr w:rsidR="009966D4" w:rsidRPr="003A3C55">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EC0" w:rsidRDefault="00C11EC0">
      <w:r>
        <w:separator/>
      </w:r>
    </w:p>
  </w:endnote>
  <w:endnote w:type="continuationSeparator" w:id="0">
    <w:p w:rsidR="00C11EC0" w:rsidRDefault="00C1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EC0" w:rsidRDefault="00C11EC0">
      <w:r>
        <w:separator/>
      </w:r>
    </w:p>
  </w:footnote>
  <w:footnote w:type="continuationSeparator" w:id="0">
    <w:p w:rsidR="00C11EC0" w:rsidRDefault="00C11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D4"/>
    <w:rsid w:val="00120D23"/>
    <w:rsid w:val="003A3C55"/>
    <w:rsid w:val="009966D4"/>
    <w:rsid w:val="00AC5F79"/>
    <w:rsid w:val="00C11EC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D86AC67-AF25-4E58-B6BD-C1F7B026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parrafo">
    <w:name w:val="parrafo"/>
    <w:pPr>
      <w:spacing w:before="100" w:after="100"/>
    </w:pPr>
    <w:rPr>
      <w:rFonts w:cs="Arial Unicode MS"/>
      <w:color w:val="000000"/>
      <w:sz w:val="24"/>
      <w:szCs w:val="24"/>
      <w:u w:color="000000"/>
      <w:lang w:val="es-ES_tradnl"/>
    </w:rPr>
  </w:style>
  <w:style w:type="character" w:customStyle="1" w:styleId="Ninguno">
    <w:name w:val="Ninguno"/>
    <w:rPr>
      <w:lang w:val="es-ES_tradnl"/>
    </w:rPr>
  </w:style>
  <w:style w:type="paragraph" w:customStyle="1" w:styleId="Cuerpo">
    <w:name w:val="Cuerpo"/>
    <w:pPr>
      <w:spacing w:after="160" w:line="259" w:lineRule="auto"/>
    </w:pPr>
    <w:rPr>
      <w:rFonts w:ascii="Calibri" w:eastAsia="Calibri" w:hAnsi="Calibri" w:cs="Calibri"/>
      <w:color w:val="000000"/>
      <w:sz w:val="22"/>
      <w:szCs w:val="22"/>
      <w:u w:color="000000"/>
      <w:lang w:val="es-ES_tradnl"/>
    </w:rPr>
  </w:style>
  <w:style w:type="paragraph" w:styleId="Textodeglobo">
    <w:name w:val="Balloon Text"/>
    <w:basedOn w:val="Normal"/>
    <w:link w:val="TextodegloboCar"/>
    <w:uiPriority w:val="99"/>
    <w:semiHidden/>
    <w:unhideWhenUsed/>
    <w:rsid w:val="003A3C5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A3C55"/>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Acebron</dc:creator>
  <cp:lastModifiedBy>Cristina Acebron</cp:lastModifiedBy>
  <cp:revision>2</cp:revision>
  <dcterms:created xsi:type="dcterms:W3CDTF">2018-03-28T07:45:00Z</dcterms:created>
  <dcterms:modified xsi:type="dcterms:W3CDTF">2018-03-28T07:45:00Z</dcterms:modified>
</cp:coreProperties>
</file>