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262A4" w14:textId="77777777" w:rsidR="00A055BC" w:rsidRDefault="001E1BFE" w:rsidP="001E1BFE">
      <w:pPr>
        <w:spacing w:after="0" w:line="240" w:lineRule="auto"/>
        <w:jc w:val="center"/>
        <w:rPr>
          <w:rFonts w:ascii="Times New Roman" w:eastAsia="Calibri" w:hAnsi="Times New Roman" w:cs="Times New Roman"/>
          <w:sz w:val="24"/>
          <w:szCs w:val="24"/>
        </w:rPr>
      </w:pPr>
      <w:r>
        <w:rPr>
          <w:rFonts w:ascii="Helvetica" w:hAnsi="Helvetica" w:cs="Helvetica"/>
          <w:noProof/>
          <w:sz w:val="24"/>
          <w:szCs w:val="24"/>
          <w:lang w:eastAsia="es-ES"/>
        </w:rPr>
        <w:drawing>
          <wp:inline distT="0" distB="0" distL="0" distR="0" wp14:anchorId="62930AEB" wp14:editId="3E16C7D1">
            <wp:extent cx="1600835" cy="1063142"/>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1063142"/>
                    </a:xfrm>
                    <a:prstGeom prst="rect">
                      <a:avLst/>
                    </a:prstGeom>
                    <a:noFill/>
                    <a:ln>
                      <a:noFill/>
                    </a:ln>
                  </pic:spPr>
                </pic:pic>
              </a:graphicData>
            </a:graphic>
          </wp:inline>
        </w:drawing>
      </w:r>
    </w:p>
    <w:p w14:paraId="2FAF12CF" w14:textId="77777777" w:rsidR="001E1BFE" w:rsidRDefault="001E1BFE" w:rsidP="00A055BC">
      <w:pPr>
        <w:spacing w:after="0" w:line="240" w:lineRule="auto"/>
        <w:jc w:val="both"/>
        <w:rPr>
          <w:rFonts w:ascii="Times New Roman" w:eastAsia="Calibri" w:hAnsi="Times New Roman" w:cs="Times New Roman"/>
          <w:sz w:val="24"/>
          <w:szCs w:val="24"/>
        </w:rPr>
      </w:pPr>
    </w:p>
    <w:p w14:paraId="6A7151E2" w14:textId="77777777" w:rsidR="00A055BC" w:rsidRDefault="001E1BFE" w:rsidP="001E1BFE">
      <w:pPr>
        <w:pBdr>
          <w:bottom w:val="single" w:sz="12" w:space="1" w:color="auto"/>
        </w:pBd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INFORME SOBRE ASPECTOS DE DISCAPACIDAD Y TERCER SECTOR CONTENIDOS EN EL </w:t>
      </w:r>
      <w:r w:rsidRPr="00A055BC">
        <w:rPr>
          <w:rFonts w:ascii="Times New Roman" w:eastAsia="Calibri" w:hAnsi="Times New Roman" w:cs="Times New Roman"/>
          <w:b/>
          <w:sz w:val="24"/>
          <w:szCs w:val="24"/>
        </w:rPr>
        <w:t xml:space="preserve">PROYECTO DE LEY DE PRESUPUESTOS GENERALES DEL ESTADO </w:t>
      </w:r>
      <w:r>
        <w:rPr>
          <w:rFonts w:ascii="Times New Roman" w:eastAsia="Calibri" w:hAnsi="Times New Roman" w:cs="Times New Roman"/>
          <w:b/>
          <w:sz w:val="24"/>
          <w:szCs w:val="24"/>
        </w:rPr>
        <w:t xml:space="preserve">PARA EL AÑO </w:t>
      </w:r>
      <w:r w:rsidRPr="00A055BC">
        <w:rPr>
          <w:rFonts w:ascii="Times New Roman" w:eastAsia="Calibri" w:hAnsi="Times New Roman" w:cs="Times New Roman"/>
          <w:b/>
          <w:sz w:val="24"/>
          <w:szCs w:val="24"/>
        </w:rPr>
        <w:t>2018</w:t>
      </w:r>
    </w:p>
    <w:p w14:paraId="185F3E45" w14:textId="77777777" w:rsidR="00A055BC" w:rsidRDefault="00A055BC" w:rsidP="00A055BC">
      <w:pPr>
        <w:spacing w:after="0" w:line="240" w:lineRule="auto"/>
        <w:jc w:val="both"/>
        <w:rPr>
          <w:rFonts w:ascii="Times New Roman" w:eastAsia="Calibri" w:hAnsi="Times New Roman" w:cs="Times New Roman"/>
          <w:b/>
          <w:sz w:val="24"/>
          <w:szCs w:val="24"/>
        </w:rPr>
      </w:pPr>
    </w:p>
    <w:p w14:paraId="18E49783" w14:textId="77777777" w:rsidR="00A055BC" w:rsidRDefault="00A055BC" w:rsidP="00A055B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Este informe </w:t>
      </w:r>
      <w:r w:rsidR="00932841">
        <w:rPr>
          <w:rFonts w:ascii="Times New Roman" w:eastAsia="Calibri" w:hAnsi="Times New Roman" w:cs="Times New Roman"/>
          <w:b/>
          <w:sz w:val="24"/>
          <w:szCs w:val="24"/>
        </w:rPr>
        <w:t xml:space="preserve">se ha elaborado a partir </w:t>
      </w:r>
      <w:r>
        <w:rPr>
          <w:rFonts w:ascii="Times New Roman" w:eastAsia="Calibri" w:hAnsi="Times New Roman" w:cs="Times New Roman"/>
          <w:b/>
          <w:sz w:val="24"/>
          <w:szCs w:val="24"/>
        </w:rPr>
        <w:t xml:space="preserve">del documento “Presentación del Proyecto de Presupuestos Generales del Estado 2018”, publicado el 3 de abril de 2018. </w:t>
      </w:r>
      <w:r w:rsidR="00F02EA6">
        <w:rPr>
          <w:rFonts w:ascii="Times New Roman" w:eastAsia="Calibri" w:hAnsi="Times New Roman" w:cs="Times New Roman"/>
          <w:b/>
          <w:sz w:val="24"/>
          <w:szCs w:val="24"/>
        </w:rPr>
        <w:t>En esta misma fecha, s</w:t>
      </w:r>
      <w:r>
        <w:rPr>
          <w:rFonts w:ascii="Times New Roman" w:eastAsia="Calibri" w:hAnsi="Times New Roman" w:cs="Times New Roman"/>
          <w:b/>
          <w:sz w:val="24"/>
          <w:szCs w:val="24"/>
        </w:rPr>
        <w:t>e ha publicado el Proyecto de Texto Legislativo</w:t>
      </w:r>
      <w:r w:rsidR="00F02EA6">
        <w:rPr>
          <w:rFonts w:ascii="Times New Roman" w:eastAsia="Calibri" w:hAnsi="Times New Roman" w:cs="Times New Roman"/>
          <w:b/>
          <w:sz w:val="24"/>
          <w:szCs w:val="24"/>
        </w:rPr>
        <w:t xml:space="preserve"> en el Boletín de las Cortes Generales, si bien un examen </w:t>
      </w:r>
      <w:r w:rsidR="001E1BFE">
        <w:rPr>
          <w:rFonts w:ascii="Times New Roman" w:eastAsia="Calibri" w:hAnsi="Times New Roman" w:cs="Times New Roman"/>
          <w:b/>
          <w:sz w:val="24"/>
          <w:szCs w:val="24"/>
        </w:rPr>
        <w:t xml:space="preserve">exhaustivo </w:t>
      </w:r>
      <w:r w:rsidR="00F02EA6">
        <w:rPr>
          <w:rFonts w:ascii="Times New Roman" w:eastAsia="Calibri" w:hAnsi="Times New Roman" w:cs="Times New Roman"/>
          <w:b/>
          <w:sz w:val="24"/>
          <w:szCs w:val="24"/>
        </w:rPr>
        <w:t xml:space="preserve">sobre el mismo se deja para </w:t>
      </w:r>
      <w:bookmarkStart w:id="0" w:name="_GoBack"/>
      <w:bookmarkEnd w:id="0"/>
      <w:r w:rsidR="00F02EA6">
        <w:rPr>
          <w:rFonts w:ascii="Times New Roman" w:eastAsia="Calibri" w:hAnsi="Times New Roman" w:cs="Times New Roman"/>
          <w:b/>
          <w:sz w:val="24"/>
          <w:szCs w:val="24"/>
        </w:rPr>
        <w:t>más adelante</w:t>
      </w:r>
      <w:r>
        <w:rPr>
          <w:rFonts w:ascii="Times New Roman" w:eastAsia="Calibri" w:hAnsi="Times New Roman" w:cs="Times New Roman"/>
          <w:b/>
          <w:sz w:val="24"/>
          <w:szCs w:val="24"/>
        </w:rPr>
        <w:t>. También se ha tenido en cuenta las noticias de agencia y prensa publicadas hasta el 3 de abril de 2018.</w:t>
      </w:r>
    </w:p>
    <w:p w14:paraId="14954A25" w14:textId="77777777" w:rsidR="00A055BC" w:rsidRDefault="00A055BC" w:rsidP="00A055BC">
      <w:pPr>
        <w:spacing w:after="0" w:line="240" w:lineRule="auto"/>
        <w:jc w:val="both"/>
        <w:rPr>
          <w:rFonts w:ascii="Times New Roman" w:eastAsia="Calibri" w:hAnsi="Times New Roman" w:cs="Times New Roman"/>
          <w:b/>
          <w:sz w:val="24"/>
          <w:szCs w:val="24"/>
        </w:rPr>
      </w:pPr>
    </w:p>
    <w:p w14:paraId="3E4A20D8" w14:textId="77777777" w:rsidR="00A055BC" w:rsidRPr="00A055BC" w:rsidRDefault="00A055BC" w:rsidP="00A055B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Medidas en favor de las personas con discapacidad</w:t>
      </w:r>
    </w:p>
    <w:p w14:paraId="3CDAC92C" w14:textId="77777777" w:rsidR="00A055BC" w:rsidRDefault="00A055BC" w:rsidP="00A055BC">
      <w:pPr>
        <w:spacing w:after="0" w:line="240" w:lineRule="auto"/>
        <w:jc w:val="both"/>
        <w:rPr>
          <w:rFonts w:ascii="Times New Roman" w:eastAsia="Calibri" w:hAnsi="Times New Roman" w:cs="Times New Roman"/>
          <w:sz w:val="24"/>
          <w:szCs w:val="24"/>
        </w:rPr>
      </w:pPr>
    </w:p>
    <w:p w14:paraId="30647A7F" w14:textId="77777777" w:rsidR="006E51DA" w:rsidRPr="00A055BC" w:rsidRDefault="006E51DA" w:rsidP="00A055BC">
      <w:pPr>
        <w:pStyle w:val="Prrafodelista"/>
        <w:numPr>
          <w:ilvl w:val="0"/>
          <w:numId w:val="1"/>
        </w:numPr>
        <w:spacing w:after="0" w:line="240" w:lineRule="auto"/>
        <w:jc w:val="both"/>
        <w:rPr>
          <w:rFonts w:ascii="Times New Roman" w:eastAsia="Calibri" w:hAnsi="Times New Roman" w:cs="Times New Roman"/>
          <w:sz w:val="24"/>
          <w:szCs w:val="24"/>
        </w:rPr>
      </w:pPr>
      <w:r w:rsidRPr="00A055BC">
        <w:rPr>
          <w:rFonts w:ascii="Times New Roman" w:eastAsia="Calibri" w:hAnsi="Times New Roman" w:cs="Times New Roman"/>
          <w:sz w:val="24"/>
          <w:szCs w:val="24"/>
        </w:rPr>
        <w:t xml:space="preserve">Se incluye un incremento del </w:t>
      </w:r>
      <w:r w:rsidRPr="00C17C44">
        <w:rPr>
          <w:rFonts w:ascii="Times New Roman" w:eastAsia="Calibri" w:hAnsi="Times New Roman" w:cs="Times New Roman"/>
          <w:b/>
          <w:sz w:val="24"/>
          <w:szCs w:val="24"/>
        </w:rPr>
        <w:t>3 por 100</w:t>
      </w:r>
      <w:r w:rsidRPr="00A055BC">
        <w:rPr>
          <w:rFonts w:ascii="Times New Roman" w:eastAsia="Calibri" w:hAnsi="Times New Roman" w:cs="Times New Roman"/>
          <w:sz w:val="24"/>
          <w:szCs w:val="24"/>
        </w:rPr>
        <w:t xml:space="preserve"> para las pensiones más bajas </w:t>
      </w:r>
      <w:r w:rsidR="00A055BC" w:rsidRPr="00A055BC">
        <w:rPr>
          <w:rFonts w:ascii="Times New Roman" w:eastAsia="Calibri" w:hAnsi="Times New Roman" w:cs="Times New Roman"/>
          <w:sz w:val="24"/>
          <w:szCs w:val="24"/>
        </w:rPr>
        <w:t xml:space="preserve">(las mínimas y </w:t>
      </w:r>
      <w:r w:rsidR="00A055BC" w:rsidRPr="00C17C44">
        <w:rPr>
          <w:rFonts w:ascii="Times New Roman" w:eastAsia="Calibri" w:hAnsi="Times New Roman" w:cs="Times New Roman"/>
          <w:b/>
          <w:sz w:val="24"/>
          <w:szCs w:val="24"/>
        </w:rPr>
        <w:t>las no contributivas)</w:t>
      </w:r>
      <w:r w:rsidR="00A055BC" w:rsidRPr="00A055BC">
        <w:rPr>
          <w:rFonts w:ascii="Times New Roman" w:eastAsia="Calibri" w:hAnsi="Times New Roman" w:cs="Times New Roman"/>
          <w:sz w:val="24"/>
          <w:szCs w:val="24"/>
        </w:rPr>
        <w:t xml:space="preserve"> </w:t>
      </w:r>
      <w:r w:rsidRPr="00A055BC">
        <w:rPr>
          <w:rFonts w:ascii="Times New Roman" w:eastAsia="Calibri" w:hAnsi="Times New Roman" w:cs="Times New Roman"/>
          <w:sz w:val="24"/>
          <w:szCs w:val="24"/>
        </w:rPr>
        <w:t>y del 2 por 100 para las de viudedad</w:t>
      </w:r>
      <w:r w:rsidR="00A055BC" w:rsidRPr="00A055BC">
        <w:rPr>
          <w:rFonts w:ascii="Times New Roman" w:eastAsia="Calibri" w:hAnsi="Times New Roman" w:cs="Times New Roman"/>
          <w:sz w:val="24"/>
          <w:szCs w:val="24"/>
        </w:rPr>
        <w:t>.</w:t>
      </w:r>
    </w:p>
    <w:p w14:paraId="19BC27FD" w14:textId="77777777" w:rsidR="000F7D48" w:rsidRPr="00A055BC" w:rsidRDefault="000F7D48" w:rsidP="00A055BC">
      <w:pPr>
        <w:spacing w:after="0" w:line="240" w:lineRule="auto"/>
        <w:ind w:left="708"/>
        <w:jc w:val="both"/>
        <w:rPr>
          <w:rFonts w:ascii="Times New Roman" w:eastAsia="Calibri" w:hAnsi="Times New Roman" w:cs="Times New Roman"/>
          <w:sz w:val="24"/>
          <w:szCs w:val="24"/>
        </w:rPr>
      </w:pPr>
    </w:p>
    <w:p w14:paraId="6256E42F" w14:textId="77777777" w:rsidR="000F7D48" w:rsidRPr="00A055BC" w:rsidRDefault="000F7D48" w:rsidP="00A055BC">
      <w:pPr>
        <w:pStyle w:val="Prrafodelista"/>
        <w:numPr>
          <w:ilvl w:val="0"/>
          <w:numId w:val="1"/>
        </w:numPr>
        <w:spacing w:after="0" w:line="240" w:lineRule="auto"/>
        <w:jc w:val="both"/>
        <w:rPr>
          <w:rFonts w:ascii="Times New Roman" w:eastAsia="Calibri" w:hAnsi="Times New Roman" w:cs="Times New Roman"/>
          <w:sz w:val="24"/>
          <w:szCs w:val="24"/>
        </w:rPr>
      </w:pPr>
      <w:r w:rsidRPr="00A055BC">
        <w:rPr>
          <w:rFonts w:ascii="Times New Roman" w:eastAsia="Calibri" w:hAnsi="Times New Roman" w:cs="Times New Roman"/>
          <w:sz w:val="24"/>
          <w:szCs w:val="24"/>
        </w:rPr>
        <w:t>Otras pensiones de importe inferior a los 12.000 euros brutos anuales experimentarán incrementos entre el 1 y el 1,5 por 100.</w:t>
      </w:r>
    </w:p>
    <w:p w14:paraId="3A7CBFA8" w14:textId="77777777" w:rsidR="000F7D48" w:rsidRPr="00A055BC" w:rsidRDefault="000F7D48" w:rsidP="00A055BC">
      <w:pPr>
        <w:spacing w:after="0" w:line="240" w:lineRule="auto"/>
        <w:jc w:val="both"/>
        <w:rPr>
          <w:rFonts w:ascii="Times New Roman" w:eastAsia="Calibri" w:hAnsi="Times New Roman" w:cs="Times New Roman"/>
          <w:sz w:val="24"/>
          <w:szCs w:val="24"/>
        </w:rPr>
      </w:pPr>
    </w:p>
    <w:p w14:paraId="5ED16F0A" w14:textId="77777777" w:rsidR="00DF619E" w:rsidRPr="00DF619E" w:rsidRDefault="00C17C44" w:rsidP="00DF619E">
      <w:pPr>
        <w:pStyle w:val="NormalWeb"/>
        <w:numPr>
          <w:ilvl w:val="0"/>
          <w:numId w:val="1"/>
        </w:numPr>
        <w:spacing w:before="0" w:beforeAutospacing="0" w:after="0" w:afterAutospacing="0"/>
        <w:jc w:val="both"/>
        <w:textAlignment w:val="baseline"/>
        <w:rPr>
          <w:rFonts w:eastAsia="Calibri"/>
        </w:rPr>
      </w:pPr>
      <w:r w:rsidRPr="00C17C44">
        <w:rPr>
          <w:rStyle w:val="Textoennegrita"/>
          <w:color w:val="1A1A1A"/>
          <w:bdr w:val="none" w:sz="0" w:space="0" w:color="auto" w:frame="1"/>
        </w:rPr>
        <w:t>Ayudas a las familias</w:t>
      </w:r>
      <w:r w:rsidRPr="00C17C44">
        <w:rPr>
          <w:color w:val="1A1A1A"/>
        </w:rPr>
        <w:t xml:space="preserve"> en el IRPF: </w:t>
      </w:r>
      <w:r w:rsidRPr="00C17C44">
        <w:rPr>
          <w:rFonts w:eastAsia="Calibri"/>
          <w:b/>
        </w:rPr>
        <w:t>Respecto a los actuales cheques familiares, se amplían para incluir una nueva deducción de 1.200 euros anuales por cónyuge por discapacidad.</w:t>
      </w:r>
      <w:r>
        <w:rPr>
          <w:rFonts w:eastAsia="Calibri"/>
        </w:rPr>
        <w:t xml:space="preserve"> Además, se </w:t>
      </w:r>
      <w:r w:rsidRPr="00C17C44">
        <w:rPr>
          <w:color w:val="1A1A1A"/>
        </w:rPr>
        <w:t>eleva la </w:t>
      </w:r>
      <w:r w:rsidRPr="00C17C44">
        <w:rPr>
          <w:rStyle w:val="Textoennegrita"/>
          <w:b w:val="0"/>
          <w:color w:val="1A1A1A"/>
          <w:bdr w:val="none" w:sz="0" w:space="0" w:color="auto" w:frame="1"/>
        </w:rPr>
        <w:t>deducción por gastos de guardería</w:t>
      </w:r>
      <w:r w:rsidRPr="00C17C44">
        <w:rPr>
          <w:b/>
          <w:color w:val="1A1A1A"/>
        </w:rPr>
        <w:t> </w:t>
      </w:r>
      <w:r w:rsidRPr="00C17C44">
        <w:rPr>
          <w:color w:val="1A1A1A"/>
        </w:rPr>
        <w:t>hasta 1.000 euros anuales y la deducción por </w:t>
      </w:r>
      <w:r w:rsidRPr="00C17C44">
        <w:rPr>
          <w:rStyle w:val="Textoennegrita"/>
          <w:color w:val="1A1A1A"/>
          <w:bdr w:val="none" w:sz="0" w:space="0" w:color="auto" w:frame="1"/>
        </w:rPr>
        <w:t>familia numerosa</w:t>
      </w:r>
      <w:r w:rsidRPr="00C17C44">
        <w:rPr>
          <w:color w:val="1A1A1A"/>
        </w:rPr>
        <w:t xml:space="preserve"> asciende a 600 euros por cada hijo que exceda el número establecido. </w:t>
      </w:r>
      <w:r w:rsidR="009E45E2" w:rsidRPr="00C17C44">
        <w:t xml:space="preserve">Esta medida beneficiará a un total de 362.790 contribuyentes (312.679 por cónyuges con discapacidad y 50.111 por familias numerosas). Su coste total al año se </w:t>
      </w:r>
      <w:r w:rsidR="002767C1">
        <w:t>sitúa en 398 millones de euros.</w:t>
      </w:r>
    </w:p>
    <w:p w14:paraId="239DB8C3" w14:textId="77777777" w:rsidR="00DF619E" w:rsidRDefault="00DF619E" w:rsidP="00DF619E">
      <w:pPr>
        <w:pStyle w:val="Prrafodelista"/>
        <w:rPr>
          <w:rFonts w:eastAsia="Calibri"/>
        </w:rPr>
      </w:pPr>
    </w:p>
    <w:p w14:paraId="74C5DA6B" w14:textId="77777777" w:rsidR="00C17C44" w:rsidRPr="00DF619E" w:rsidRDefault="00C17C44" w:rsidP="00DF619E">
      <w:pPr>
        <w:pStyle w:val="NormalWeb"/>
        <w:numPr>
          <w:ilvl w:val="0"/>
          <w:numId w:val="1"/>
        </w:numPr>
        <w:spacing w:before="0" w:beforeAutospacing="0" w:after="0" w:afterAutospacing="0"/>
        <w:jc w:val="both"/>
        <w:textAlignment w:val="baseline"/>
        <w:rPr>
          <w:rFonts w:eastAsia="Calibri"/>
        </w:rPr>
      </w:pPr>
      <w:r w:rsidRPr="00DF619E">
        <w:rPr>
          <w:rFonts w:eastAsia="Calibri"/>
        </w:rPr>
        <w:t>L</w:t>
      </w:r>
      <w:r w:rsidR="000F7D48" w:rsidRPr="00DF619E">
        <w:rPr>
          <w:rFonts w:eastAsia="Calibri"/>
        </w:rPr>
        <w:t xml:space="preserve">os recursos destinados a la </w:t>
      </w:r>
      <w:r w:rsidR="001E1BFE" w:rsidRPr="001E1BFE">
        <w:rPr>
          <w:rFonts w:eastAsia="Calibri"/>
          <w:b/>
        </w:rPr>
        <w:t>promoción de la autonomía personal</w:t>
      </w:r>
      <w:r w:rsidR="001E1BFE">
        <w:rPr>
          <w:rFonts w:eastAsia="Calibri"/>
        </w:rPr>
        <w:t xml:space="preserve"> y </w:t>
      </w:r>
      <w:r w:rsidR="000F7D48" w:rsidRPr="00DF619E">
        <w:rPr>
          <w:rFonts w:eastAsia="Calibri"/>
          <w:b/>
        </w:rPr>
        <w:t>dependencia</w:t>
      </w:r>
      <w:r w:rsidR="000F7D48" w:rsidRPr="00DF619E">
        <w:rPr>
          <w:rFonts w:eastAsia="Calibri"/>
        </w:rPr>
        <w:t xml:space="preserve"> se incrementan en 46 millones de euros, hasta los 1.401 millones.</w:t>
      </w:r>
      <w:r w:rsidR="00DF619E" w:rsidRPr="00DF619E">
        <w:t xml:space="preserve"> Este incremento viene motivado por la evolución del colectivo de beneficiarios y por la actualización de las cuantías del nivel mínimo para cada persona beneficiaria como consecuencia de la entrada en vigor el 1 de enero del Real Decreto 1082/2017, de 29 de diciembre, por el que se determina el nivel mínimo de protección garantizado a las personas beneficiarias del Sistema para la Autonomía y Atención a la Dependencia.</w:t>
      </w:r>
    </w:p>
    <w:p w14:paraId="655922F2" w14:textId="77777777" w:rsidR="00C17C44" w:rsidRDefault="00C17C44" w:rsidP="00C17C44">
      <w:pPr>
        <w:pStyle w:val="Prrafodelista"/>
      </w:pPr>
    </w:p>
    <w:p w14:paraId="279E834B" w14:textId="77777777" w:rsidR="000F7D48" w:rsidRPr="004E2F31" w:rsidRDefault="009E45E2" w:rsidP="00A055BC">
      <w:pPr>
        <w:pStyle w:val="NormalWeb"/>
        <w:numPr>
          <w:ilvl w:val="0"/>
          <w:numId w:val="1"/>
        </w:numPr>
        <w:spacing w:before="0" w:beforeAutospacing="0" w:after="0" w:afterAutospacing="0"/>
        <w:jc w:val="both"/>
        <w:textAlignment w:val="baseline"/>
        <w:rPr>
          <w:rFonts w:eastAsia="Calibri"/>
        </w:rPr>
      </w:pPr>
      <w:r w:rsidRPr="00C17C44">
        <w:t xml:space="preserve">El </w:t>
      </w:r>
      <w:r w:rsidRPr="00C17C44">
        <w:rPr>
          <w:b/>
        </w:rPr>
        <w:t>programa “Servicios Sociales de la Seguridad Social a personas con discapacidad” del IMSERSO</w:t>
      </w:r>
      <w:r w:rsidRPr="00C17C44">
        <w:t xml:space="preserve"> cuenta en 2018 con una asignación presupuestaria de 53 millones de euros destinados, fundamentalmente, al desarrollo de servicios directos y a la concesión de prestaciones económicas a las personas con discapacidad</w:t>
      </w:r>
      <w:r w:rsidR="004E2F31">
        <w:t>.</w:t>
      </w:r>
    </w:p>
    <w:p w14:paraId="071FA4DF" w14:textId="77777777" w:rsidR="004E2F31" w:rsidRDefault="004E2F31" w:rsidP="004E2F31">
      <w:pPr>
        <w:pStyle w:val="Prrafodelista"/>
        <w:rPr>
          <w:rFonts w:eastAsia="Calibri"/>
        </w:rPr>
      </w:pPr>
    </w:p>
    <w:p w14:paraId="6404C392" w14:textId="77777777" w:rsidR="004E2F31" w:rsidRPr="00C17C44" w:rsidRDefault="004E2F31" w:rsidP="00A055BC">
      <w:pPr>
        <w:pStyle w:val="NormalWeb"/>
        <w:numPr>
          <w:ilvl w:val="0"/>
          <w:numId w:val="1"/>
        </w:numPr>
        <w:spacing w:before="0" w:beforeAutospacing="0" w:after="0" w:afterAutospacing="0"/>
        <w:jc w:val="both"/>
        <w:textAlignment w:val="baseline"/>
        <w:rPr>
          <w:rFonts w:eastAsia="Calibri"/>
        </w:rPr>
      </w:pPr>
      <w:r w:rsidRPr="004E2F31">
        <w:rPr>
          <w:b/>
        </w:rPr>
        <w:t xml:space="preserve">Creación de la Tarjeta Social universal, </w:t>
      </w:r>
      <w:r>
        <w:t>documento que incluirá la información actualizada correspondiente a todas las prestaciones sociales contributivas, no contributivas y asistenciales, de contenido económico, financiadas con cargo a recursos de carácter público.</w:t>
      </w:r>
    </w:p>
    <w:p w14:paraId="25CF9999" w14:textId="77777777" w:rsidR="00C17C44" w:rsidRDefault="00C17C44" w:rsidP="00A055BC">
      <w:pPr>
        <w:spacing w:line="240" w:lineRule="auto"/>
        <w:jc w:val="both"/>
        <w:rPr>
          <w:rFonts w:ascii="Times New Roman" w:hAnsi="Times New Roman" w:cs="Times New Roman"/>
          <w:sz w:val="24"/>
          <w:szCs w:val="24"/>
        </w:rPr>
      </w:pPr>
    </w:p>
    <w:p w14:paraId="28444917" w14:textId="77777777" w:rsidR="00DF619E" w:rsidRDefault="00C17C44" w:rsidP="00DF619E">
      <w:pPr>
        <w:pStyle w:val="Prrafode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Se crea una </w:t>
      </w:r>
      <w:r w:rsidR="009E45E2" w:rsidRPr="00DF619E">
        <w:rPr>
          <w:rFonts w:ascii="Times New Roman" w:hAnsi="Times New Roman" w:cs="Times New Roman"/>
          <w:b/>
          <w:sz w:val="24"/>
          <w:szCs w:val="24"/>
        </w:rPr>
        <w:t>ayuda de acompañamiento, que se percibe por una sola vez</w:t>
      </w:r>
      <w:r w:rsidR="00DF619E">
        <w:rPr>
          <w:rFonts w:ascii="Times New Roman" w:hAnsi="Times New Roman" w:cs="Times New Roman"/>
          <w:b/>
          <w:sz w:val="24"/>
          <w:szCs w:val="24"/>
        </w:rPr>
        <w:t xml:space="preserve"> y </w:t>
      </w:r>
      <w:r w:rsidR="009E45E2" w:rsidRPr="00DF619E">
        <w:rPr>
          <w:rFonts w:ascii="Times New Roman" w:hAnsi="Times New Roman" w:cs="Times New Roman"/>
          <w:b/>
          <w:sz w:val="24"/>
          <w:szCs w:val="24"/>
        </w:rPr>
        <w:t>se configura para jóvenes con baja formación que participen en el Sistema Nacional de Garantía Juvenil</w:t>
      </w:r>
      <w:r w:rsidR="009E45E2" w:rsidRPr="00C17C44">
        <w:rPr>
          <w:rFonts w:ascii="Times New Roman" w:hAnsi="Times New Roman" w:cs="Times New Roman"/>
          <w:sz w:val="24"/>
          <w:szCs w:val="24"/>
        </w:rPr>
        <w:t xml:space="preserve"> que se comprometan a iniciar y realizar una actividad formativa y, a tal efecto, comiencen una prestación de servicios mediante un contrato para la formación y el aprendizaje</w:t>
      </w:r>
      <w:r w:rsidR="00DF619E">
        <w:rPr>
          <w:rFonts w:ascii="Times New Roman" w:hAnsi="Times New Roman" w:cs="Times New Roman"/>
          <w:sz w:val="24"/>
          <w:szCs w:val="24"/>
        </w:rPr>
        <w:t>. C</w:t>
      </w:r>
      <w:r w:rsidR="009E45E2" w:rsidRPr="00C17C44">
        <w:rPr>
          <w:rFonts w:ascii="Times New Roman" w:hAnsi="Times New Roman" w:cs="Times New Roman"/>
          <w:sz w:val="24"/>
          <w:szCs w:val="24"/>
        </w:rPr>
        <w:t xml:space="preserve">onsiste en el 80 por ciento del IPREM durante la vigencia de dicho contrato con una </w:t>
      </w:r>
      <w:r w:rsidR="009E45E2" w:rsidRPr="00DF619E">
        <w:rPr>
          <w:rFonts w:ascii="Times New Roman" w:hAnsi="Times New Roman" w:cs="Times New Roman"/>
          <w:b/>
          <w:sz w:val="24"/>
          <w:szCs w:val="24"/>
        </w:rPr>
        <w:t>duración máxima de 18 meses (36 meses en el caso de personas con un grado de discapacidad igual o superior al 33 por ciento).</w:t>
      </w:r>
    </w:p>
    <w:p w14:paraId="5EB4CE45" w14:textId="77777777" w:rsidR="00DF619E" w:rsidRPr="00DF619E" w:rsidRDefault="00DF619E" w:rsidP="00DF619E">
      <w:pPr>
        <w:pStyle w:val="Prrafodelista"/>
        <w:rPr>
          <w:rFonts w:ascii="Times New Roman" w:eastAsia="Calibri" w:hAnsi="Times New Roman" w:cs="Times New Roman"/>
          <w:sz w:val="24"/>
          <w:szCs w:val="24"/>
        </w:rPr>
      </w:pPr>
    </w:p>
    <w:p w14:paraId="595A21E1" w14:textId="77777777" w:rsidR="00DF619E" w:rsidRPr="008C3C60" w:rsidRDefault="00DF619E" w:rsidP="00DF619E">
      <w:pPr>
        <w:pStyle w:val="Prrafodelista"/>
        <w:numPr>
          <w:ilvl w:val="0"/>
          <w:numId w:val="1"/>
        </w:numPr>
        <w:spacing w:line="240" w:lineRule="auto"/>
        <w:jc w:val="both"/>
        <w:rPr>
          <w:rFonts w:ascii="Times New Roman" w:hAnsi="Times New Roman" w:cs="Times New Roman"/>
          <w:b/>
          <w:sz w:val="24"/>
          <w:szCs w:val="24"/>
        </w:rPr>
      </w:pPr>
      <w:r w:rsidRPr="00DF619E">
        <w:rPr>
          <w:rFonts w:ascii="Times New Roman" w:eastAsia="Calibri" w:hAnsi="Times New Roman" w:cs="Times New Roman"/>
          <w:sz w:val="24"/>
          <w:szCs w:val="24"/>
        </w:rPr>
        <w:t>L</w:t>
      </w:r>
      <w:r w:rsidR="000F7D48" w:rsidRPr="00DF619E">
        <w:rPr>
          <w:rFonts w:ascii="Times New Roman" w:eastAsia="Calibri" w:hAnsi="Times New Roman" w:cs="Times New Roman"/>
          <w:sz w:val="24"/>
          <w:szCs w:val="24"/>
        </w:rPr>
        <w:t xml:space="preserve">os Presupuestos </w:t>
      </w:r>
      <w:r w:rsidRPr="00DF619E">
        <w:rPr>
          <w:rFonts w:ascii="Times New Roman" w:eastAsia="Calibri" w:hAnsi="Times New Roman" w:cs="Times New Roman"/>
          <w:sz w:val="24"/>
          <w:szCs w:val="24"/>
        </w:rPr>
        <w:t>tienen en cuenta</w:t>
      </w:r>
      <w:r w:rsidR="000F7D48" w:rsidRPr="00DF619E">
        <w:rPr>
          <w:rFonts w:ascii="Times New Roman" w:eastAsia="Calibri" w:hAnsi="Times New Roman" w:cs="Times New Roman"/>
          <w:sz w:val="24"/>
          <w:szCs w:val="24"/>
        </w:rPr>
        <w:t xml:space="preserve"> el acuerdo alcanzado por el Gobierno con la Federación Española de Municipios y Provincias para ampliar el plazo para acometer inversiones financieramente sostenibles con el </w:t>
      </w:r>
      <w:r w:rsidR="000F7D48" w:rsidRPr="00DF619E">
        <w:rPr>
          <w:rFonts w:ascii="Times New Roman" w:eastAsia="Calibri" w:hAnsi="Times New Roman" w:cs="Times New Roman"/>
          <w:b/>
          <w:sz w:val="24"/>
          <w:szCs w:val="24"/>
        </w:rPr>
        <w:t>superávit presupuestario</w:t>
      </w:r>
      <w:r w:rsidRPr="00DF619E">
        <w:rPr>
          <w:rFonts w:ascii="Times New Roman" w:eastAsia="Calibri" w:hAnsi="Times New Roman" w:cs="Times New Roman"/>
          <w:sz w:val="24"/>
          <w:szCs w:val="24"/>
        </w:rPr>
        <w:t>. Este acuerdo se trasladó al R</w:t>
      </w:r>
      <w:r w:rsidRPr="00DF619E">
        <w:rPr>
          <w:rFonts w:ascii="Times New Roman" w:hAnsi="Times New Roman" w:cs="Times New Roman"/>
          <w:sz w:val="24"/>
          <w:szCs w:val="24"/>
        </w:rPr>
        <w:t>eal Decreto-Ley 1/2018, de 23 de marzo, por el que se prorroga para 2018 el destino del superávit de las corporaciones locales para inversiones financieramente sostenibles y se modifica el ámbito objetivo de éstas.</w:t>
      </w:r>
      <w:r w:rsidRPr="00DF619E">
        <w:rPr>
          <w:rFonts w:ascii="Times New Roman" w:hAnsi="Times New Roman" w:cs="Times New Roman"/>
          <w:b/>
          <w:color w:val="333333"/>
          <w:sz w:val="24"/>
          <w:szCs w:val="24"/>
          <w:shd w:val="clear" w:color="auto" w:fill="FFFFFF"/>
        </w:rPr>
        <w:t xml:space="preserve"> Uno de las inversiones que se autorizan son</w:t>
      </w:r>
      <w:r w:rsidRPr="00DF619E">
        <w:rPr>
          <w:rFonts w:ascii="Times New Roman" w:hAnsi="Times New Roman" w:cs="Times New Roman"/>
          <w:color w:val="333333"/>
          <w:sz w:val="24"/>
          <w:szCs w:val="24"/>
          <w:shd w:val="clear" w:color="auto" w:fill="FFFFFF"/>
        </w:rPr>
        <w:t xml:space="preserve">, dentro de la Gestión del patrimonio, </w:t>
      </w:r>
      <w:r w:rsidR="001E1BFE">
        <w:rPr>
          <w:rFonts w:ascii="Times New Roman" w:hAnsi="Times New Roman" w:cs="Times New Roman"/>
          <w:color w:val="333333"/>
          <w:sz w:val="24"/>
          <w:szCs w:val="24"/>
          <w:shd w:val="clear" w:color="auto" w:fill="FFFFFF"/>
        </w:rPr>
        <w:t xml:space="preserve">y como consecuencia de la petición del CERMI, </w:t>
      </w:r>
      <w:r w:rsidRPr="00DF619E">
        <w:rPr>
          <w:rFonts w:ascii="Times New Roman" w:hAnsi="Times New Roman" w:cs="Times New Roman"/>
          <w:color w:val="333333"/>
          <w:sz w:val="24"/>
          <w:szCs w:val="24"/>
          <w:shd w:val="clear" w:color="auto" w:fill="FFFFFF"/>
        </w:rPr>
        <w:t xml:space="preserve">las aplicadas a la rehabilitación, reparación y mejora de infraestructuras e inmuebles propiedad de la entidad local afectos al servicio público, y </w:t>
      </w:r>
      <w:r w:rsidRPr="00DF619E">
        <w:rPr>
          <w:rFonts w:ascii="Times New Roman" w:hAnsi="Times New Roman" w:cs="Times New Roman"/>
          <w:b/>
          <w:color w:val="333333"/>
          <w:sz w:val="24"/>
          <w:szCs w:val="24"/>
          <w:shd w:val="clear" w:color="auto" w:fill="FFFFFF"/>
        </w:rPr>
        <w:t>las actuaciones de adaptación de infraestructuras que permitan la accesibilidad universal para personas con discapacidad y personas mayores.</w:t>
      </w:r>
    </w:p>
    <w:p w14:paraId="71D29565" w14:textId="77777777" w:rsidR="008C3C60" w:rsidRPr="008C3C60" w:rsidRDefault="008C3C60" w:rsidP="008C3C60">
      <w:pPr>
        <w:pStyle w:val="Prrafodelista"/>
        <w:rPr>
          <w:rFonts w:ascii="Times New Roman" w:hAnsi="Times New Roman" w:cs="Times New Roman"/>
          <w:b/>
          <w:sz w:val="24"/>
          <w:szCs w:val="24"/>
        </w:rPr>
      </w:pPr>
    </w:p>
    <w:p w14:paraId="36BA29AB" w14:textId="77777777" w:rsidR="008C3C60" w:rsidRPr="008C3C60" w:rsidRDefault="008C3C60" w:rsidP="00DF619E">
      <w:pPr>
        <w:pStyle w:val="Prrafodelista"/>
        <w:numPr>
          <w:ilvl w:val="0"/>
          <w:numId w:val="1"/>
        </w:numPr>
        <w:spacing w:line="240" w:lineRule="auto"/>
        <w:jc w:val="both"/>
        <w:rPr>
          <w:rFonts w:ascii="Times New Roman" w:hAnsi="Times New Roman" w:cs="Times New Roman"/>
          <w:b/>
          <w:sz w:val="24"/>
          <w:szCs w:val="24"/>
        </w:rPr>
      </w:pPr>
      <w:r w:rsidRPr="008C3C60">
        <w:rPr>
          <w:rFonts w:ascii="Times New Roman" w:hAnsi="Times New Roman" w:cs="Times New Roman"/>
          <w:sz w:val="24"/>
          <w:szCs w:val="24"/>
        </w:rPr>
        <w:t xml:space="preserve">Los PGE 2018 también recogen </w:t>
      </w:r>
      <w:r w:rsidRPr="008C3C60">
        <w:rPr>
          <w:rFonts w:ascii="Times New Roman" w:hAnsi="Times New Roman" w:cs="Times New Roman"/>
          <w:b/>
          <w:sz w:val="24"/>
          <w:szCs w:val="24"/>
        </w:rPr>
        <w:t>reglas especiales para el destino del superávit presupuestario de las CCAA y Ciudades con Estatuto de Autonomía, en paralelo a lo dispuesto para las EELL.</w:t>
      </w:r>
      <w:r w:rsidRPr="008C3C60">
        <w:rPr>
          <w:rFonts w:ascii="Times New Roman" w:hAnsi="Times New Roman" w:cs="Times New Roman"/>
          <w:sz w:val="24"/>
          <w:szCs w:val="24"/>
        </w:rPr>
        <w:t xml:space="preserve"> Entre los requisitos que han de reunir las CCAA para acogerse a estas reglas están, entre otros, que presenten en el ejercicio inmediato anterior superávit o que los datos relativos a su periodo medio de pago de los 6 meses anteriores a la aplicación de esta disposición cumplan con la normativa de morosidad.</w:t>
      </w:r>
    </w:p>
    <w:p w14:paraId="1EDD6734" w14:textId="77777777" w:rsidR="00DF619E" w:rsidRDefault="00DF619E" w:rsidP="00DF619E">
      <w:pPr>
        <w:pStyle w:val="Prrafodelista"/>
        <w:spacing w:line="240" w:lineRule="auto"/>
        <w:jc w:val="both"/>
        <w:rPr>
          <w:rFonts w:ascii="Times New Roman" w:hAnsi="Times New Roman" w:cs="Times New Roman"/>
          <w:sz w:val="24"/>
          <w:szCs w:val="24"/>
        </w:rPr>
      </w:pPr>
    </w:p>
    <w:p w14:paraId="2ECD06D1" w14:textId="77777777" w:rsidR="00DF619E" w:rsidRDefault="009E45E2" w:rsidP="00A055BC">
      <w:pPr>
        <w:pStyle w:val="Prrafodelista"/>
        <w:numPr>
          <w:ilvl w:val="0"/>
          <w:numId w:val="1"/>
        </w:numPr>
        <w:spacing w:line="240" w:lineRule="auto"/>
        <w:jc w:val="both"/>
        <w:rPr>
          <w:rFonts w:ascii="Times New Roman" w:hAnsi="Times New Roman" w:cs="Times New Roman"/>
          <w:sz w:val="24"/>
          <w:szCs w:val="24"/>
        </w:rPr>
      </w:pPr>
      <w:r w:rsidRPr="00DF619E">
        <w:rPr>
          <w:rFonts w:ascii="Times New Roman" w:hAnsi="Times New Roman" w:cs="Times New Roman"/>
          <w:sz w:val="24"/>
          <w:szCs w:val="24"/>
        </w:rPr>
        <w:t xml:space="preserve">Como medidas de </w:t>
      </w:r>
      <w:r w:rsidRPr="00DF619E">
        <w:rPr>
          <w:rFonts w:ascii="Times New Roman" w:hAnsi="Times New Roman" w:cs="Times New Roman"/>
          <w:b/>
          <w:sz w:val="24"/>
          <w:szCs w:val="24"/>
        </w:rPr>
        <w:t>conciliación</w:t>
      </w:r>
      <w:r w:rsidRPr="00DF619E">
        <w:rPr>
          <w:rFonts w:ascii="Times New Roman" w:hAnsi="Times New Roman" w:cs="Times New Roman"/>
          <w:sz w:val="24"/>
          <w:szCs w:val="24"/>
        </w:rPr>
        <w:t xml:space="preserve"> se prevé que las Administraciones, previa negociación colectiva, puedan regular una </w:t>
      </w:r>
      <w:r w:rsidRPr="00DF619E">
        <w:rPr>
          <w:rFonts w:ascii="Times New Roman" w:hAnsi="Times New Roman" w:cs="Times New Roman"/>
          <w:b/>
          <w:sz w:val="24"/>
          <w:szCs w:val="24"/>
        </w:rPr>
        <w:t>bolsa de horas de hasta un 5 por ciento de jornada anual de horas recuperables para la atención de mayores, menores y personas con discapacidad, y la posibilidad de jornada intensiva para cuidado de hijos menores de 12 años o personas con discapacidad.</w:t>
      </w:r>
      <w:r w:rsidR="00DF619E">
        <w:rPr>
          <w:rFonts w:ascii="Times New Roman" w:hAnsi="Times New Roman" w:cs="Times New Roman"/>
          <w:sz w:val="24"/>
          <w:szCs w:val="24"/>
        </w:rPr>
        <w:t xml:space="preserve"> Procede de Acuerdo firmado recientemente entre el Gobierno y los Sindicatos.</w:t>
      </w:r>
    </w:p>
    <w:p w14:paraId="0A8B3A00" w14:textId="77777777" w:rsidR="00DF619E" w:rsidRPr="00DF619E" w:rsidRDefault="00DF619E" w:rsidP="00DF619E">
      <w:pPr>
        <w:pStyle w:val="Prrafodelista"/>
        <w:rPr>
          <w:rFonts w:ascii="Times New Roman" w:hAnsi="Times New Roman" w:cs="Times New Roman"/>
          <w:sz w:val="24"/>
          <w:szCs w:val="24"/>
        </w:rPr>
      </w:pPr>
    </w:p>
    <w:p w14:paraId="1A3CBCB6" w14:textId="77777777" w:rsidR="00DF619E" w:rsidRDefault="00DF619E" w:rsidP="00A055BC">
      <w:pPr>
        <w:pStyle w:val="Prrafode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Se r</w:t>
      </w:r>
      <w:r w:rsidR="009E45E2" w:rsidRPr="00DF619E">
        <w:rPr>
          <w:rFonts w:ascii="Times New Roman" w:hAnsi="Times New Roman" w:cs="Times New Roman"/>
          <w:sz w:val="24"/>
          <w:szCs w:val="24"/>
        </w:rPr>
        <w:t>efuerza</w:t>
      </w:r>
      <w:r>
        <w:rPr>
          <w:rFonts w:ascii="Times New Roman" w:hAnsi="Times New Roman" w:cs="Times New Roman"/>
          <w:sz w:val="24"/>
          <w:szCs w:val="24"/>
        </w:rPr>
        <w:t>n</w:t>
      </w:r>
      <w:r w:rsidR="009E45E2" w:rsidRPr="00DF619E">
        <w:rPr>
          <w:rFonts w:ascii="Times New Roman" w:hAnsi="Times New Roman" w:cs="Times New Roman"/>
          <w:sz w:val="24"/>
          <w:szCs w:val="24"/>
        </w:rPr>
        <w:t xml:space="preserve"> las </w:t>
      </w:r>
      <w:r w:rsidR="009E45E2" w:rsidRPr="00DF619E">
        <w:rPr>
          <w:rFonts w:ascii="Times New Roman" w:hAnsi="Times New Roman" w:cs="Times New Roman"/>
          <w:b/>
          <w:sz w:val="24"/>
          <w:szCs w:val="24"/>
        </w:rPr>
        <w:t xml:space="preserve">dotaciones económicas para mejorar la sensibilización, la formación, seguridad, protección y atención personalizada a las víctimas de violencia de </w:t>
      </w:r>
      <w:r w:rsidR="00A055BC" w:rsidRPr="00DF619E">
        <w:rPr>
          <w:rFonts w:ascii="Times New Roman" w:hAnsi="Times New Roman" w:cs="Times New Roman"/>
          <w:b/>
          <w:sz w:val="24"/>
          <w:szCs w:val="24"/>
        </w:rPr>
        <w:t>género</w:t>
      </w:r>
      <w:r w:rsidR="00A055BC" w:rsidRPr="00DF619E">
        <w:rPr>
          <w:rFonts w:ascii="Times New Roman" w:hAnsi="Times New Roman" w:cs="Times New Roman"/>
          <w:sz w:val="24"/>
          <w:szCs w:val="24"/>
        </w:rPr>
        <w:t xml:space="preserve"> Para</w:t>
      </w:r>
      <w:r w:rsidR="009E45E2" w:rsidRPr="00DF619E">
        <w:rPr>
          <w:rFonts w:ascii="Times New Roman" w:hAnsi="Times New Roman" w:cs="Times New Roman"/>
          <w:sz w:val="24"/>
          <w:szCs w:val="24"/>
        </w:rPr>
        <w:t xml:space="preserve"> conseguir este objetivo están previstas 5 campañas de sensibilización: una dirigida a los jóvenes y adolescentes, otra contra la violencia de género destinada a la población general, otra </w:t>
      </w:r>
      <w:r w:rsidR="009E45E2" w:rsidRPr="00DF619E">
        <w:rPr>
          <w:rFonts w:ascii="Times New Roman" w:hAnsi="Times New Roman" w:cs="Times New Roman"/>
          <w:b/>
          <w:sz w:val="24"/>
          <w:szCs w:val="24"/>
        </w:rPr>
        <w:t>especialmente focalizada en las mujeres con discapacidad por su mayor vulnerabilidad</w:t>
      </w:r>
      <w:r>
        <w:rPr>
          <w:rFonts w:ascii="Times New Roman" w:hAnsi="Times New Roman" w:cs="Times New Roman"/>
          <w:b/>
          <w:sz w:val="24"/>
          <w:szCs w:val="24"/>
        </w:rPr>
        <w:t>.</w:t>
      </w:r>
    </w:p>
    <w:p w14:paraId="27205A20" w14:textId="77777777" w:rsidR="00DF619E" w:rsidRPr="00DF619E" w:rsidRDefault="00DF619E" w:rsidP="00DF619E">
      <w:pPr>
        <w:pStyle w:val="Prrafodelista"/>
        <w:rPr>
          <w:rFonts w:ascii="Times New Roman" w:hAnsi="Times New Roman" w:cs="Times New Roman"/>
          <w:sz w:val="24"/>
          <w:szCs w:val="24"/>
        </w:rPr>
      </w:pPr>
    </w:p>
    <w:p w14:paraId="1F2E4675" w14:textId="77777777" w:rsidR="00DF619E" w:rsidRDefault="009E45E2" w:rsidP="00A055BC">
      <w:pPr>
        <w:pStyle w:val="Prrafodelista"/>
        <w:numPr>
          <w:ilvl w:val="0"/>
          <w:numId w:val="1"/>
        </w:numPr>
        <w:spacing w:line="240" w:lineRule="auto"/>
        <w:jc w:val="both"/>
        <w:rPr>
          <w:rFonts w:ascii="Times New Roman" w:hAnsi="Times New Roman" w:cs="Times New Roman"/>
          <w:b/>
          <w:sz w:val="24"/>
          <w:szCs w:val="24"/>
        </w:rPr>
      </w:pPr>
      <w:r w:rsidRPr="00DF619E">
        <w:rPr>
          <w:rFonts w:ascii="Times New Roman" w:hAnsi="Times New Roman" w:cs="Times New Roman"/>
          <w:sz w:val="24"/>
          <w:szCs w:val="24"/>
        </w:rPr>
        <w:t xml:space="preserve">A través del </w:t>
      </w:r>
      <w:r w:rsidRPr="00DF619E">
        <w:rPr>
          <w:rFonts w:ascii="Times New Roman" w:hAnsi="Times New Roman" w:cs="Times New Roman"/>
          <w:b/>
          <w:sz w:val="24"/>
          <w:szCs w:val="24"/>
        </w:rPr>
        <w:t>programa fomento de la inserción y estabilidad laboral</w:t>
      </w:r>
      <w:r w:rsidRPr="00DF619E">
        <w:rPr>
          <w:rFonts w:ascii="Times New Roman" w:hAnsi="Times New Roman" w:cs="Times New Roman"/>
          <w:sz w:val="24"/>
          <w:szCs w:val="24"/>
        </w:rPr>
        <w:t xml:space="preserve"> se llevarán a cabo un conjunto de acciones destinadas a promover la integración de los desempleados en el mercado laboral y la permanencia en el mismo de los trabajadores, especialmente de los pertenecientes a los colectivos más desfavorecidos. </w:t>
      </w:r>
      <w:r w:rsidR="00DF619E" w:rsidRPr="00DF619E">
        <w:rPr>
          <w:rFonts w:ascii="Times New Roman" w:hAnsi="Times New Roman" w:cs="Times New Roman"/>
          <w:b/>
          <w:sz w:val="24"/>
          <w:szCs w:val="24"/>
        </w:rPr>
        <w:t>P</w:t>
      </w:r>
      <w:r w:rsidRPr="00DF619E">
        <w:rPr>
          <w:rFonts w:ascii="Times New Roman" w:hAnsi="Times New Roman" w:cs="Times New Roman"/>
          <w:b/>
          <w:sz w:val="24"/>
          <w:szCs w:val="24"/>
        </w:rPr>
        <w:t>ara oportunidades de empleo (incluye discapacidad) se destinan 451 millones de euros</w:t>
      </w:r>
    </w:p>
    <w:p w14:paraId="4D51BF42" w14:textId="77777777" w:rsidR="00DF619E" w:rsidRPr="00DF619E" w:rsidRDefault="00DF619E" w:rsidP="00DF619E">
      <w:pPr>
        <w:pStyle w:val="Prrafodelista"/>
        <w:rPr>
          <w:rFonts w:ascii="Times New Roman" w:hAnsi="Times New Roman" w:cs="Times New Roman"/>
          <w:sz w:val="24"/>
          <w:szCs w:val="24"/>
        </w:rPr>
      </w:pPr>
    </w:p>
    <w:p w14:paraId="54232F20" w14:textId="77777777" w:rsidR="00DF619E" w:rsidRPr="008C3C60" w:rsidRDefault="009E45E2" w:rsidP="00A055BC">
      <w:pPr>
        <w:pStyle w:val="Prrafodelista"/>
        <w:numPr>
          <w:ilvl w:val="0"/>
          <w:numId w:val="1"/>
        </w:numPr>
        <w:spacing w:line="240" w:lineRule="auto"/>
        <w:jc w:val="both"/>
        <w:rPr>
          <w:rFonts w:ascii="Times New Roman" w:hAnsi="Times New Roman" w:cs="Times New Roman"/>
          <w:b/>
          <w:sz w:val="24"/>
          <w:szCs w:val="24"/>
        </w:rPr>
      </w:pPr>
      <w:r w:rsidRPr="00DF619E">
        <w:rPr>
          <w:rFonts w:ascii="Times New Roman" w:hAnsi="Times New Roman" w:cs="Times New Roman"/>
          <w:sz w:val="24"/>
          <w:szCs w:val="24"/>
        </w:rPr>
        <w:t xml:space="preserve">Las </w:t>
      </w:r>
      <w:r w:rsidRPr="00DF619E">
        <w:rPr>
          <w:rFonts w:ascii="Times New Roman" w:hAnsi="Times New Roman" w:cs="Times New Roman"/>
          <w:b/>
          <w:sz w:val="24"/>
          <w:szCs w:val="24"/>
        </w:rPr>
        <w:t>prestaciones de pago periódico consisten en una asignación por cada hijo</w:t>
      </w:r>
      <w:r w:rsidRPr="00DF619E">
        <w:rPr>
          <w:rFonts w:ascii="Times New Roman" w:hAnsi="Times New Roman" w:cs="Times New Roman"/>
          <w:sz w:val="24"/>
          <w:szCs w:val="24"/>
        </w:rPr>
        <w:t xml:space="preserve"> menor de 18 años </w:t>
      </w:r>
      <w:r w:rsidRPr="008C3C60">
        <w:rPr>
          <w:rFonts w:ascii="Times New Roman" w:hAnsi="Times New Roman" w:cs="Times New Roman"/>
          <w:b/>
          <w:sz w:val="24"/>
          <w:szCs w:val="24"/>
        </w:rPr>
        <w:t>o mayor de dicha edad siempre que se encuentre afectado por una discapacidad en grado igual o superior al 65 por ciento</w:t>
      </w:r>
      <w:r w:rsidRPr="00DF619E">
        <w:rPr>
          <w:rFonts w:ascii="Times New Roman" w:hAnsi="Times New Roman" w:cs="Times New Roman"/>
          <w:sz w:val="24"/>
          <w:szCs w:val="24"/>
        </w:rPr>
        <w:t xml:space="preserve"> y viva a cargo del beneficiario. Para el pago de estas prestaciones se consigna una dotación de 1.585 millones de euros que supone un </w:t>
      </w:r>
      <w:r w:rsidRPr="008C3C60">
        <w:rPr>
          <w:rFonts w:ascii="Times New Roman" w:hAnsi="Times New Roman" w:cs="Times New Roman"/>
          <w:b/>
          <w:sz w:val="24"/>
          <w:szCs w:val="24"/>
        </w:rPr>
        <w:t>incremento de un 2,8 por ciento respecto a 2017, en coherencia con la previsión del número de beneficiarios en 2018.</w:t>
      </w:r>
    </w:p>
    <w:p w14:paraId="64D3CAE5" w14:textId="77777777" w:rsidR="00DF619E" w:rsidRPr="00DF619E" w:rsidRDefault="00DF619E" w:rsidP="00DF619E">
      <w:pPr>
        <w:pStyle w:val="Prrafodelista"/>
        <w:rPr>
          <w:rFonts w:ascii="Times New Roman" w:hAnsi="Times New Roman" w:cs="Times New Roman"/>
          <w:sz w:val="24"/>
          <w:szCs w:val="24"/>
        </w:rPr>
      </w:pPr>
    </w:p>
    <w:p w14:paraId="2C1B9F17" w14:textId="77777777" w:rsidR="00DF619E" w:rsidRPr="00DF619E" w:rsidRDefault="00DF619E" w:rsidP="00A055BC">
      <w:pPr>
        <w:pStyle w:val="Prrafodelista"/>
        <w:numPr>
          <w:ilvl w:val="0"/>
          <w:numId w:val="1"/>
        </w:numPr>
        <w:spacing w:line="240" w:lineRule="auto"/>
        <w:jc w:val="both"/>
        <w:rPr>
          <w:rFonts w:ascii="Times New Roman" w:hAnsi="Times New Roman" w:cs="Times New Roman"/>
          <w:b/>
          <w:sz w:val="24"/>
          <w:szCs w:val="24"/>
        </w:rPr>
      </w:pPr>
      <w:r w:rsidRPr="00DF619E">
        <w:rPr>
          <w:rFonts w:ascii="Times New Roman" w:hAnsi="Times New Roman" w:cs="Times New Roman"/>
          <w:b/>
          <w:sz w:val="24"/>
          <w:szCs w:val="24"/>
        </w:rPr>
        <w:t>Ayudas “LISMI”,</w:t>
      </w:r>
      <w:r>
        <w:rPr>
          <w:rFonts w:ascii="Times New Roman" w:hAnsi="Times New Roman" w:cs="Times New Roman"/>
          <w:sz w:val="24"/>
          <w:szCs w:val="24"/>
        </w:rPr>
        <w:t xml:space="preserve"> previstas en el </w:t>
      </w:r>
      <w:r w:rsidR="00A055BC" w:rsidRPr="00DF619E">
        <w:rPr>
          <w:rFonts w:ascii="Times New Roman" w:hAnsi="Times New Roman" w:cs="Times New Roman"/>
          <w:sz w:val="24"/>
          <w:szCs w:val="24"/>
        </w:rPr>
        <w:t>Real Decreto Legislativo 1/2013, de 29 de noviembre, por el que se aprueba el Texto Refundido de la Ley General de derechos de las personas con discapacidad y de su inclusión social</w:t>
      </w:r>
      <w:r>
        <w:rPr>
          <w:rFonts w:ascii="Times New Roman" w:hAnsi="Times New Roman" w:cs="Times New Roman"/>
          <w:sz w:val="24"/>
          <w:szCs w:val="24"/>
        </w:rPr>
        <w:t>.</w:t>
      </w:r>
      <w:r w:rsidR="00A055BC" w:rsidRPr="00DF619E">
        <w:rPr>
          <w:rFonts w:ascii="Times New Roman" w:hAnsi="Times New Roman" w:cs="Times New Roman"/>
          <w:sz w:val="24"/>
          <w:szCs w:val="24"/>
        </w:rPr>
        <w:t xml:space="preserve"> El crédito para los subsidios económicos para personas con discapacidad asciende a </w:t>
      </w:r>
      <w:r w:rsidR="00A055BC" w:rsidRPr="00DF619E">
        <w:rPr>
          <w:rFonts w:ascii="Times New Roman" w:hAnsi="Times New Roman" w:cs="Times New Roman"/>
          <w:b/>
          <w:sz w:val="24"/>
          <w:szCs w:val="24"/>
        </w:rPr>
        <w:t>14 millones de euros, lo que supone un 13,4 por ciento menos que el de 2017 por tratarse de un colectivo de carácter cerrado, sin nuevas incorporaciones</w:t>
      </w:r>
      <w:r w:rsidR="00A055BC" w:rsidRPr="00DF619E">
        <w:rPr>
          <w:rFonts w:ascii="Times New Roman" w:hAnsi="Times New Roman" w:cs="Times New Roman"/>
          <w:sz w:val="24"/>
          <w:szCs w:val="24"/>
        </w:rPr>
        <w:t>, y por tanto con tendencia decreciente del gasto.</w:t>
      </w:r>
    </w:p>
    <w:p w14:paraId="3AB2FE69" w14:textId="77777777" w:rsidR="00DF619E" w:rsidRPr="00DF619E" w:rsidRDefault="00DF619E" w:rsidP="00DF619E">
      <w:pPr>
        <w:pStyle w:val="Prrafodelista"/>
        <w:rPr>
          <w:rFonts w:ascii="Times New Roman" w:hAnsi="Times New Roman" w:cs="Times New Roman"/>
          <w:sz w:val="24"/>
          <w:szCs w:val="24"/>
        </w:rPr>
      </w:pPr>
    </w:p>
    <w:p w14:paraId="7FD6DFCD" w14:textId="77777777" w:rsidR="00A055BC" w:rsidRPr="00DF619E" w:rsidRDefault="00A055BC" w:rsidP="00A055BC">
      <w:pPr>
        <w:pStyle w:val="Prrafodelista"/>
        <w:numPr>
          <w:ilvl w:val="0"/>
          <w:numId w:val="1"/>
        </w:numPr>
        <w:spacing w:line="240" w:lineRule="auto"/>
        <w:jc w:val="both"/>
        <w:rPr>
          <w:rFonts w:ascii="Times New Roman" w:hAnsi="Times New Roman" w:cs="Times New Roman"/>
          <w:b/>
          <w:sz w:val="24"/>
          <w:szCs w:val="24"/>
        </w:rPr>
      </w:pPr>
      <w:r w:rsidRPr="00DF619E">
        <w:rPr>
          <w:rFonts w:ascii="Times New Roman" w:hAnsi="Times New Roman" w:cs="Times New Roman"/>
          <w:sz w:val="24"/>
          <w:szCs w:val="24"/>
        </w:rPr>
        <w:t xml:space="preserve">En el </w:t>
      </w:r>
      <w:r w:rsidRPr="00DF619E">
        <w:rPr>
          <w:rFonts w:ascii="Times New Roman" w:hAnsi="Times New Roman" w:cs="Times New Roman"/>
          <w:b/>
          <w:sz w:val="24"/>
          <w:szCs w:val="24"/>
        </w:rPr>
        <w:t xml:space="preserve">Plan de Cercanías </w:t>
      </w:r>
      <w:r w:rsidR="00932841">
        <w:rPr>
          <w:rFonts w:ascii="Times New Roman" w:hAnsi="Times New Roman" w:cs="Times New Roman"/>
          <w:b/>
          <w:sz w:val="24"/>
          <w:szCs w:val="24"/>
        </w:rPr>
        <w:t xml:space="preserve">(Ferrocarril) </w:t>
      </w:r>
      <w:r w:rsidRPr="00DF619E">
        <w:rPr>
          <w:rFonts w:ascii="Times New Roman" w:hAnsi="Times New Roman" w:cs="Times New Roman"/>
          <w:b/>
          <w:sz w:val="24"/>
          <w:szCs w:val="24"/>
        </w:rPr>
        <w:t>está previsto que ADIF y RENFE</w:t>
      </w:r>
      <w:r w:rsidRPr="00DF619E">
        <w:rPr>
          <w:rFonts w:ascii="Times New Roman" w:hAnsi="Times New Roman" w:cs="Times New Roman"/>
          <w:sz w:val="24"/>
          <w:szCs w:val="24"/>
        </w:rPr>
        <w:t xml:space="preserve"> realicen actuaciones de mejora de la red referidas a su modernización y la mejora de las estaciones, que tendrá como </w:t>
      </w:r>
      <w:r w:rsidRPr="00DF619E">
        <w:rPr>
          <w:rFonts w:ascii="Times New Roman" w:hAnsi="Times New Roman" w:cs="Times New Roman"/>
          <w:b/>
          <w:sz w:val="24"/>
          <w:szCs w:val="24"/>
        </w:rPr>
        <w:t>elemento prioritario la accesibilidad</w:t>
      </w:r>
      <w:r w:rsidRPr="00DF619E">
        <w:rPr>
          <w:rFonts w:ascii="Times New Roman" w:hAnsi="Times New Roman" w:cs="Times New Roman"/>
          <w:sz w:val="24"/>
          <w:szCs w:val="24"/>
        </w:rPr>
        <w:t xml:space="preserve">, la supresión de pasos a nivel, la modernización de las infraestructuras y los trenes y nuevos sistemas de pago más eficaces. Se han previsto </w:t>
      </w:r>
      <w:r w:rsidRPr="00DF619E">
        <w:rPr>
          <w:rFonts w:ascii="Times New Roman" w:hAnsi="Times New Roman" w:cs="Times New Roman"/>
          <w:b/>
          <w:sz w:val="24"/>
          <w:szCs w:val="24"/>
        </w:rPr>
        <w:t>actuaciones en Cataluña, Madrid, Cornisa Cantábrica, Málaga, Alicante, Sevilla y Tren de la Costa.</w:t>
      </w:r>
    </w:p>
    <w:p w14:paraId="7154BD9F" w14:textId="77777777" w:rsidR="00DF619E" w:rsidRDefault="00DF619E" w:rsidP="00A055BC">
      <w:pPr>
        <w:spacing w:before="240" w:after="180" w:line="240" w:lineRule="auto"/>
        <w:jc w:val="both"/>
        <w:textAlignment w:val="baseline"/>
        <w:rPr>
          <w:rFonts w:ascii="Times New Roman" w:hAnsi="Times New Roman" w:cs="Times New Roman"/>
          <w:b/>
          <w:bCs/>
          <w:color w:val="333333"/>
          <w:sz w:val="24"/>
          <w:szCs w:val="24"/>
        </w:rPr>
      </w:pPr>
      <w:r>
        <w:rPr>
          <w:rFonts w:ascii="Times New Roman" w:hAnsi="Times New Roman" w:cs="Times New Roman"/>
          <w:b/>
          <w:bCs/>
          <w:color w:val="333333"/>
          <w:sz w:val="24"/>
          <w:szCs w:val="24"/>
        </w:rPr>
        <w:t>TERCER SECTOR</w:t>
      </w:r>
    </w:p>
    <w:p w14:paraId="5AFB6A3B" w14:textId="77777777" w:rsidR="00DC6A06" w:rsidRPr="00A055BC" w:rsidRDefault="00DC6A06" w:rsidP="00A055BC">
      <w:pPr>
        <w:spacing w:before="240" w:after="180" w:line="240" w:lineRule="auto"/>
        <w:jc w:val="both"/>
        <w:textAlignment w:val="baseline"/>
        <w:rPr>
          <w:rFonts w:ascii="Times New Roman" w:hAnsi="Times New Roman" w:cs="Times New Roman"/>
          <w:sz w:val="24"/>
          <w:szCs w:val="24"/>
        </w:rPr>
      </w:pPr>
      <w:r w:rsidRPr="00A055BC">
        <w:rPr>
          <w:rFonts w:ascii="Times New Roman" w:hAnsi="Times New Roman" w:cs="Times New Roman"/>
          <w:b/>
          <w:bCs/>
          <w:color w:val="333333"/>
          <w:sz w:val="24"/>
          <w:szCs w:val="24"/>
        </w:rPr>
        <w:t xml:space="preserve">El 0,7% del Impuesto de Sociedades se destinará a la inclusión y el Tercer Sector </w:t>
      </w:r>
    </w:p>
    <w:p w14:paraId="7A2741CE" w14:textId="77777777" w:rsidR="00DC6A06" w:rsidRPr="00A055BC" w:rsidRDefault="00DC6A06" w:rsidP="00A055BC">
      <w:pPr>
        <w:spacing w:line="240" w:lineRule="auto"/>
        <w:jc w:val="both"/>
        <w:textAlignment w:val="baseline"/>
        <w:rPr>
          <w:rFonts w:ascii="Times New Roman" w:hAnsi="Times New Roman" w:cs="Times New Roman"/>
          <w:sz w:val="24"/>
          <w:szCs w:val="24"/>
        </w:rPr>
      </w:pPr>
      <w:r w:rsidRPr="00A055BC">
        <w:rPr>
          <w:rFonts w:ascii="Times New Roman" w:hAnsi="Times New Roman" w:cs="Times New Roman"/>
          <w:b/>
          <w:bCs/>
          <w:color w:val="333333"/>
          <w:sz w:val="24"/>
          <w:szCs w:val="24"/>
          <w:bdr w:val="none" w:sz="0" w:space="0" w:color="auto" w:frame="1"/>
        </w:rPr>
        <w:t>El proyecto de Presupuestos Generales del Estado (PGE) de 2018 incluye una modificación normativa en la Ley del Impuesto de Sociedades para la asignación del 0,7% de la recaudación de dicho impuesto a actividades para la inclusión y el Tercer Sector de ámbito estatal.</w:t>
      </w:r>
      <w:r w:rsidR="00A47AAA">
        <w:rPr>
          <w:rFonts w:ascii="Times New Roman" w:hAnsi="Times New Roman" w:cs="Times New Roman"/>
          <w:b/>
          <w:bCs/>
          <w:color w:val="333333"/>
          <w:sz w:val="24"/>
          <w:szCs w:val="24"/>
          <w:bdr w:val="none" w:sz="0" w:space="0" w:color="auto" w:frame="1"/>
        </w:rPr>
        <w:t xml:space="preserve"> </w:t>
      </w:r>
    </w:p>
    <w:p w14:paraId="4F147D03" w14:textId="77777777" w:rsidR="00A47AAA" w:rsidRPr="00A47AAA" w:rsidRDefault="00A47AAA" w:rsidP="00A47AAA">
      <w:pPr>
        <w:spacing w:line="257" w:lineRule="auto"/>
        <w:ind w:left="284" w:right="284"/>
        <w:jc w:val="both"/>
        <w:rPr>
          <w:rFonts w:ascii="Times New Roman" w:hAnsi="Times New Roman" w:cs="Times New Roman"/>
          <w:i/>
          <w:sz w:val="24"/>
          <w:szCs w:val="24"/>
        </w:rPr>
      </w:pPr>
      <w:r w:rsidRPr="00A47AAA">
        <w:rPr>
          <w:rFonts w:ascii="Times New Roman" w:hAnsi="Times New Roman" w:cs="Times New Roman"/>
          <w:i/>
          <w:sz w:val="24"/>
          <w:szCs w:val="24"/>
        </w:rPr>
        <w:t>Disposición adicional nonagésima tercera. Asignación de cantidades a actividades de interés general consideradas de interés social.</w:t>
      </w:r>
    </w:p>
    <w:p w14:paraId="600CBB9F" w14:textId="77777777" w:rsidR="00A47AAA" w:rsidRPr="00A47AAA" w:rsidRDefault="00A47AAA" w:rsidP="00A47AAA">
      <w:pPr>
        <w:spacing w:line="257" w:lineRule="auto"/>
        <w:ind w:left="284" w:right="284"/>
        <w:jc w:val="both"/>
        <w:rPr>
          <w:rFonts w:ascii="Times New Roman" w:hAnsi="Times New Roman" w:cs="Times New Roman"/>
          <w:i/>
          <w:sz w:val="24"/>
          <w:szCs w:val="24"/>
        </w:rPr>
      </w:pPr>
      <w:r w:rsidRPr="00A47AAA">
        <w:rPr>
          <w:rFonts w:ascii="Times New Roman" w:hAnsi="Times New Roman" w:cs="Times New Roman"/>
          <w:i/>
          <w:sz w:val="24"/>
          <w:szCs w:val="24"/>
        </w:rPr>
        <w:t>Uno. El Estado destinará a subvencionar actividades de interés general consideradas de interés social, en la forma que reglamentariamente se establezca, el 0,7 por ciento de la cuota íntegra del Impuesto sobre Sociedades correspondiente a los contribuyentes cuyo periodo impositivo hubiese finalizado a partir de la entrada en vigor de esta ley, que manifiesten expresamente su voluntad en tal sentido.</w:t>
      </w:r>
    </w:p>
    <w:p w14:paraId="6386B34D" w14:textId="77777777" w:rsidR="00A47AAA" w:rsidRPr="00A47AAA" w:rsidRDefault="00A47AAA" w:rsidP="00A47AAA">
      <w:pPr>
        <w:spacing w:line="257" w:lineRule="auto"/>
        <w:ind w:left="284" w:right="284"/>
        <w:jc w:val="both"/>
        <w:rPr>
          <w:rFonts w:ascii="Times New Roman" w:hAnsi="Times New Roman" w:cs="Times New Roman"/>
          <w:i/>
          <w:sz w:val="24"/>
          <w:szCs w:val="24"/>
        </w:rPr>
      </w:pPr>
      <w:r w:rsidRPr="00A47AAA">
        <w:rPr>
          <w:rFonts w:ascii="Times New Roman" w:hAnsi="Times New Roman" w:cs="Times New Roman"/>
          <w:i/>
          <w:sz w:val="24"/>
          <w:szCs w:val="24"/>
        </w:rPr>
        <w:lastRenderedPageBreak/>
        <w:t>Dos. A estos efectos, se entenderá por cuota íntegra del impuesto la cuota íntegra total declarada, determinada en los términos previstos en la Ley reguladora del Impuesto sobre Sociedades.</w:t>
      </w:r>
    </w:p>
    <w:p w14:paraId="41998A6F" w14:textId="77777777" w:rsidR="00A47AAA" w:rsidRPr="00A47AAA" w:rsidRDefault="00A47AAA" w:rsidP="00A47AAA">
      <w:pPr>
        <w:spacing w:line="257" w:lineRule="auto"/>
        <w:ind w:left="284" w:right="284"/>
        <w:jc w:val="both"/>
        <w:rPr>
          <w:rFonts w:ascii="Times New Roman" w:hAnsi="Times New Roman" w:cs="Times New Roman"/>
          <w:i/>
          <w:sz w:val="24"/>
          <w:szCs w:val="24"/>
        </w:rPr>
      </w:pPr>
      <w:r w:rsidRPr="00A47AAA">
        <w:rPr>
          <w:rFonts w:ascii="Times New Roman" w:hAnsi="Times New Roman" w:cs="Times New Roman"/>
          <w:i/>
          <w:sz w:val="24"/>
          <w:szCs w:val="24"/>
        </w:rPr>
        <w:t>La liquidación definitiva de la asignación correspondiente al ejercicio de 2018 se llevará a cabo antes del 30 de abril de 2020, efectuándose una liquidación provisional el 30 de septiembre de 2019 que posibilite la iniciación anticipada del procedimiento para la concesión de las subvenciones.</w:t>
      </w:r>
    </w:p>
    <w:p w14:paraId="3A6088A9" w14:textId="77777777" w:rsidR="00A47AAA" w:rsidRPr="00A47AAA" w:rsidRDefault="00A47AAA" w:rsidP="00A47AAA">
      <w:pPr>
        <w:spacing w:line="257" w:lineRule="auto"/>
        <w:ind w:left="284" w:right="284"/>
        <w:jc w:val="both"/>
        <w:rPr>
          <w:rFonts w:ascii="Times New Roman" w:hAnsi="Times New Roman" w:cs="Times New Roman"/>
          <w:i/>
          <w:sz w:val="24"/>
          <w:szCs w:val="24"/>
        </w:rPr>
      </w:pPr>
      <w:r w:rsidRPr="00A47AAA">
        <w:rPr>
          <w:rFonts w:ascii="Times New Roman" w:hAnsi="Times New Roman" w:cs="Times New Roman"/>
          <w:i/>
          <w:sz w:val="24"/>
          <w:szCs w:val="24"/>
        </w:rPr>
        <w:t>Las cuantías destinadas a estas subvenciones –que en todo caso se destinarán a financiar proyectos de entidades de ámbito estatal-, se gestionarán y se otorgarán de acuerdo con el procedimiento que reglamentariamente se establezca.</w:t>
      </w:r>
    </w:p>
    <w:p w14:paraId="2467880C" w14:textId="77777777" w:rsidR="00DC6A06" w:rsidRPr="00A055BC" w:rsidRDefault="00DC6A06" w:rsidP="00A055BC">
      <w:pPr>
        <w:spacing w:line="240" w:lineRule="auto"/>
        <w:jc w:val="both"/>
        <w:textAlignment w:val="baseline"/>
        <w:rPr>
          <w:rFonts w:ascii="Times New Roman" w:hAnsi="Times New Roman" w:cs="Times New Roman"/>
          <w:sz w:val="24"/>
          <w:szCs w:val="24"/>
        </w:rPr>
      </w:pPr>
      <w:r w:rsidRPr="00A055BC">
        <w:rPr>
          <w:rFonts w:ascii="Times New Roman" w:hAnsi="Times New Roman" w:cs="Times New Roman"/>
          <w:color w:val="333333"/>
          <w:sz w:val="24"/>
          <w:szCs w:val="24"/>
          <w:bdr w:val="none" w:sz="0" w:space="0" w:color="auto" w:frame="1"/>
        </w:rPr>
        <w:t>Durante la rueda de prensa de la presentación de los PGE en el Congreso de los Diputados, el secretario de Estado de Hacienda, José Enrique Fernández de Moya, explicó que esta medida tiene como objetivo una mayor “contribución desde la política tributaria a la política social”.</w:t>
      </w:r>
    </w:p>
    <w:p w14:paraId="32DB073B" w14:textId="77777777" w:rsidR="00DC6A06" w:rsidRPr="00A055BC" w:rsidRDefault="00DC6A06" w:rsidP="00A055BC">
      <w:pPr>
        <w:spacing w:line="240" w:lineRule="auto"/>
        <w:jc w:val="both"/>
        <w:textAlignment w:val="baseline"/>
        <w:rPr>
          <w:rFonts w:ascii="Times New Roman" w:hAnsi="Times New Roman" w:cs="Times New Roman"/>
          <w:sz w:val="24"/>
          <w:szCs w:val="24"/>
        </w:rPr>
      </w:pPr>
      <w:r w:rsidRPr="00A055BC">
        <w:rPr>
          <w:rFonts w:ascii="Times New Roman" w:hAnsi="Times New Roman" w:cs="Times New Roman"/>
          <w:color w:val="333333"/>
          <w:sz w:val="24"/>
          <w:szCs w:val="24"/>
          <w:bdr w:val="none" w:sz="0" w:space="0" w:color="auto" w:frame="1"/>
        </w:rPr>
        <w:t xml:space="preserve">En concreto, Fernández de Moya señaló que dicho porcentaje “quedará estrictamente dirigido a actividades de entidades de ámbito estatal” y detalló que, tomando como referencia el último dato disponible sobre la recaudación del Impuesto de Sociedades, de 30.609 millones de euros en 2015, ese 0,7% supondría unos 200 millones. </w:t>
      </w:r>
    </w:p>
    <w:p w14:paraId="17B1383B" w14:textId="77777777" w:rsidR="00DC6A06" w:rsidRPr="00A055BC" w:rsidRDefault="00DC6A06" w:rsidP="00A055BC">
      <w:pPr>
        <w:spacing w:line="240" w:lineRule="auto"/>
        <w:jc w:val="both"/>
        <w:textAlignment w:val="baseline"/>
        <w:rPr>
          <w:rFonts w:ascii="Times New Roman" w:hAnsi="Times New Roman" w:cs="Times New Roman"/>
          <w:sz w:val="24"/>
          <w:szCs w:val="24"/>
        </w:rPr>
      </w:pPr>
      <w:r w:rsidRPr="00A055BC">
        <w:rPr>
          <w:rFonts w:ascii="Times New Roman" w:hAnsi="Times New Roman" w:cs="Times New Roman"/>
          <w:color w:val="333333"/>
          <w:sz w:val="24"/>
          <w:szCs w:val="24"/>
          <w:bdr w:val="none" w:sz="0" w:space="0" w:color="auto" w:frame="1"/>
        </w:rPr>
        <w:t xml:space="preserve">Luego, el ministro de Hacienda y Función Pública, Cristóbal Montoro, explicó que esta medida refleja el “compromiso del Gobierno con la existencia y funcionamiento” de organizaciones sociales, que “hacen labor fundamental en todo el ámbito del Estado”. </w:t>
      </w:r>
    </w:p>
    <w:p w14:paraId="04C6E217" w14:textId="77777777" w:rsidR="00DC6A06" w:rsidRPr="00A055BC" w:rsidRDefault="00DC6A06" w:rsidP="00A055BC">
      <w:pPr>
        <w:spacing w:line="240" w:lineRule="auto"/>
        <w:jc w:val="both"/>
        <w:textAlignment w:val="baseline"/>
        <w:rPr>
          <w:rFonts w:ascii="Times New Roman" w:hAnsi="Times New Roman" w:cs="Times New Roman"/>
          <w:sz w:val="24"/>
          <w:szCs w:val="24"/>
        </w:rPr>
      </w:pPr>
      <w:r w:rsidRPr="00A055BC">
        <w:rPr>
          <w:rFonts w:ascii="Times New Roman" w:hAnsi="Times New Roman" w:cs="Times New Roman"/>
          <w:color w:val="333333"/>
          <w:sz w:val="24"/>
          <w:szCs w:val="24"/>
          <w:bdr w:val="none" w:sz="0" w:space="0" w:color="auto" w:frame="1"/>
        </w:rPr>
        <w:t xml:space="preserve">“Cumplimos nuestro compromiso con esas organizaciones, para que puedan desarrollar su actividad en toda España y no tenga que ser necesariamente identificada” con una determinada región. </w:t>
      </w:r>
    </w:p>
    <w:p w14:paraId="5CDC37BD" w14:textId="77777777" w:rsidR="00DC6A06" w:rsidRPr="00A055BC" w:rsidRDefault="00DC6A06" w:rsidP="00A055BC">
      <w:pPr>
        <w:spacing w:line="240" w:lineRule="auto"/>
        <w:jc w:val="both"/>
        <w:textAlignment w:val="baseline"/>
        <w:rPr>
          <w:rFonts w:ascii="Times New Roman" w:hAnsi="Times New Roman" w:cs="Times New Roman"/>
          <w:sz w:val="24"/>
          <w:szCs w:val="24"/>
        </w:rPr>
      </w:pPr>
      <w:r w:rsidRPr="00A055BC">
        <w:rPr>
          <w:rFonts w:ascii="Times New Roman" w:hAnsi="Times New Roman" w:cs="Times New Roman"/>
          <w:color w:val="333333"/>
          <w:sz w:val="24"/>
          <w:szCs w:val="24"/>
          <w:bdr w:val="none" w:sz="0" w:space="0" w:color="auto" w:frame="1"/>
        </w:rPr>
        <w:t>Además,</w:t>
      </w:r>
      <w:r w:rsidR="001E1BFE">
        <w:rPr>
          <w:rFonts w:ascii="Times New Roman" w:hAnsi="Times New Roman" w:cs="Times New Roman"/>
          <w:color w:val="333333"/>
          <w:sz w:val="24"/>
          <w:szCs w:val="24"/>
          <w:bdr w:val="none" w:sz="0" w:space="0" w:color="auto" w:frame="1"/>
        </w:rPr>
        <w:t xml:space="preserve"> desde Hacienda subrayaron que e</w:t>
      </w:r>
      <w:r w:rsidRPr="00A055BC">
        <w:rPr>
          <w:rFonts w:ascii="Times New Roman" w:hAnsi="Times New Roman" w:cs="Times New Roman"/>
          <w:color w:val="333333"/>
          <w:sz w:val="24"/>
          <w:szCs w:val="24"/>
          <w:bdr w:val="none" w:sz="0" w:space="0" w:color="auto" w:frame="1"/>
        </w:rPr>
        <w:t xml:space="preserve">sta es una de las “iniciativas novedosas” en materia tributaria relacionada con la política fiscal, una medida que abre la </w:t>
      </w:r>
      <w:r w:rsidRPr="008C3C60">
        <w:rPr>
          <w:rFonts w:ascii="Times New Roman" w:hAnsi="Times New Roman" w:cs="Times New Roman"/>
          <w:b/>
          <w:color w:val="333333"/>
          <w:sz w:val="24"/>
          <w:szCs w:val="24"/>
          <w:bdr w:val="none" w:sz="0" w:space="0" w:color="auto" w:frame="1"/>
        </w:rPr>
        <w:t>posibilidad de</w:t>
      </w:r>
      <w:r w:rsidRPr="00A055BC">
        <w:rPr>
          <w:rFonts w:ascii="Times New Roman" w:hAnsi="Times New Roman" w:cs="Times New Roman"/>
          <w:color w:val="333333"/>
          <w:sz w:val="24"/>
          <w:szCs w:val="24"/>
          <w:bdr w:val="none" w:sz="0" w:space="0" w:color="auto" w:frame="1"/>
        </w:rPr>
        <w:t xml:space="preserve"> </w:t>
      </w:r>
      <w:r w:rsidRPr="008C3C60">
        <w:rPr>
          <w:rFonts w:ascii="Times New Roman" w:hAnsi="Times New Roman" w:cs="Times New Roman"/>
          <w:b/>
          <w:color w:val="333333"/>
          <w:sz w:val="24"/>
          <w:szCs w:val="24"/>
          <w:bdr w:val="none" w:sz="0" w:space="0" w:color="auto" w:frame="1"/>
        </w:rPr>
        <w:t>que las empresas puedan destinar un 0,7% del Impuesto sobre Sociedades a actividades para la inclusión social y el Tercer Sector de ámbito estatal, de una manera similar a como se hace en el IRPF.</w:t>
      </w:r>
      <w:r w:rsidRPr="00A055BC">
        <w:rPr>
          <w:rFonts w:ascii="Times New Roman" w:hAnsi="Times New Roman" w:cs="Times New Roman"/>
          <w:color w:val="333333"/>
          <w:sz w:val="24"/>
          <w:szCs w:val="24"/>
          <w:bdr w:val="none" w:sz="0" w:space="0" w:color="auto" w:frame="1"/>
        </w:rPr>
        <w:t xml:space="preserve"> </w:t>
      </w:r>
    </w:p>
    <w:p w14:paraId="07532E06" w14:textId="77777777" w:rsidR="00DC6A06" w:rsidRDefault="00DC6A06" w:rsidP="00A055BC">
      <w:pPr>
        <w:spacing w:line="240" w:lineRule="auto"/>
        <w:jc w:val="both"/>
        <w:textAlignment w:val="baseline"/>
        <w:rPr>
          <w:rFonts w:ascii="Times New Roman" w:hAnsi="Times New Roman" w:cs="Times New Roman"/>
          <w:color w:val="333333"/>
          <w:sz w:val="24"/>
          <w:szCs w:val="24"/>
          <w:bdr w:val="none" w:sz="0" w:space="0" w:color="auto" w:frame="1"/>
        </w:rPr>
      </w:pPr>
      <w:r w:rsidRPr="00A055BC">
        <w:rPr>
          <w:rFonts w:ascii="Times New Roman" w:hAnsi="Times New Roman" w:cs="Times New Roman"/>
          <w:color w:val="333333"/>
          <w:sz w:val="24"/>
          <w:szCs w:val="24"/>
          <w:bdr w:val="none" w:sz="0" w:space="0" w:color="auto" w:frame="1"/>
        </w:rPr>
        <w:t>De esta manera, “las principales organizaciones del Tercer Sector de ámbito estatal podrán contar con nuevos fondos para la importante labor social que realizan”, indicó el Ministerio.</w:t>
      </w:r>
    </w:p>
    <w:p w14:paraId="1D193FEC" w14:textId="77777777" w:rsidR="004E2F31" w:rsidRDefault="004E2F31" w:rsidP="00A055BC">
      <w:pPr>
        <w:spacing w:line="240" w:lineRule="auto"/>
        <w:jc w:val="both"/>
        <w:textAlignment w:val="baseline"/>
        <w:rPr>
          <w:rFonts w:ascii="Times New Roman" w:hAnsi="Times New Roman" w:cs="Times New Roman"/>
          <w:sz w:val="24"/>
          <w:szCs w:val="24"/>
        </w:rPr>
      </w:pPr>
    </w:p>
    <w:p w14:paraId="6CB60CDC" w14:textId="77777777" w:rsidR="004E2F31" w:rsidRDefault="004E2F31" w:rsidP="000714AE">
      <w:pPr>
        <w:spacing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7C1">
        <w:rPr>
          <w:rFonts w:ascii="Times New Roman" w:hAnsi="Times New Roman" w:cs="Times New Roman"/>
          <w:sz w:val="24"/>
          <w:szCs w:val="24"/>
        </w:rPr>
        <w:t>4</w:t>
      </w:r>
      <w:r>
        <w:rPr>
          <w:rFonts w:ascii="Times New Roman" w:hAnsi="Times New Roman" w:cs="Times New Roman"/>
          <w:sz w:val="24"/>
          <w:szCs w:val="24"/>
        </w:rPr>
        <w:t xml:space="preserve"> de abril de 2018</w:t>
      </w:r>
      <w:r w:rsidR="001E1BFE">
        <w:rPr>
          <w:rFonts w:ascii="Times New Roman" w:hAnsi="Times New Roman" w:cs="Times New Roman"/>
          <w:sz w:val="24"/>
          <w:szCs w:val="24"/>
        </w:rPr>
        <w:t>.</w:t>
      </w:r>
    </w:p>
    <w:p w14:paraId="1F1842BE" w14:textId="77777777" w:rsidR="000714AE" w:rsidRDefault="000714AE" w:rsidP="000714AE">
      <w:pPr>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Dr. Miguel Ángel Cabra de Luna</w:t>
      </w:r>
    </w:p>
    <w:p w14:paraId="00C53F61" w14:textId="77777777" w:rsidR="0034772A" w:rsidRDefault="0034772A" w:rsidP="00886A2E">
      <w:pPr>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Director de los Servicios Jurídicos del CERMI</w:t>
      </w:r>
    </w:p>
    <w:p w14:paraId="2A1D233D" w14:textId="77777777" w:rsidR="001E1BFE" w:rsidRDefault="001E1BFE" w:rsidP="00886A2E">
      <w:pPr>
        <w:spacing w:after="0" w:line="240" w:lineRule="auto"/>
        <w:jc w:val="right"/>
        <w:textAlignment w:val="baseline"/>
        <w:rPr>
          <w:rFonts w:ascii="Times New Roman" w:hAnsi="Times New Roman" w:cs="Times New Roman"/>
          <w:sz w:val="24"/>
          <w:szCs w:val="24"/>
        </w:rPr>
      </w:pPr>
    </w:p>
    <w:p w14:paraId="3ADD9B13" w14:textId="77777777" w:rsidR="001E1BFE" w:rsidRDefault="001E1BFE" w:rsidP="00886A2E">
      <w:pPr>
        <w:spacing w:after="0" w:line="240" w:lineRule="auto"/>
        <w:jc w:val="right"/>
        <w:textAlignment w:val="baseline"/>
        <w:rPr>
          <w:rFonts w:ascii="Times New Roman" w:hAnsi="Times New Roman" w:cs="Times New Roman"/>
          <w:sz w:val="24"/>
          <w:szCs w:val="24"/>
        </w:rPr>
      </w:pPr>
    </w:p>
    <w:sectPr w:rsidR="001E1B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6544" w14:textId="77777777" w:rsidR="005C6CA6" w:rsidRDefault="005C6CA6" w:rsidP="005C6CA6">
      <w:pPr>
        <w:spacing w:after="0" w:line="240" w:lineRule="auto"/>
      </w:pPr>
      <w:r>
        <w:separator/>
      </w:r>
    </w:p>
  </w:endnote>
  <w:endnote w:type="continuationSeparator" w:id="0">
    <w:p w14:paraId="55F14CB0" w14:textId="77777777" w:rsidR="005C6CA6" w:rsidRDefault="005C6CA6" w:rsidP="005C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C6CBA" w14:textId="77777777" w:rsidR="005C6CA6" w:rsidRDefault="005C6CA6" w:rsidP="005C6CA6">
      <w:pPr>
        <w:spacing w:after="0" w:line="240" w:lineRule="auto"/>
      </w:pPr>
      <w:r>
        <w:separator/>
      </w:r>
    </w:p>
  </w:footnote>
  <w:footnote w:type="continuationSeparator" w:id="0">
    <w:p w14:paraId="111D136B" w14:textId="77777777" w:rsidR="005C6CA6" w:rsidRDefault="005C6CA6" w:rsidP="005C6C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140A"/>
    <w:multiLevelType w:val="hybridMultilevel"/>
    <w:tmpl w:val="DF08EC02"/>
    <w:lvl w:ilvl="0" w:tplc="39528200">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F47456"/>
    <w:multiLevelType w:val="multilevel"/>
    <w:tmpl w:val="9784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DA"/>
    <w:rsid w:val="000714AE"/>
    <w:rsid w:val="000F7D48"/>
    <w:rsid w:val="001E1BFE"/>
    <w:rsid w:val="00265CC8"/>
    <w:rsid w:val="002767C1"/>
    <w:rsid w:val="0034772A"/>
    <w:rsid w:val="004E2F31"/>
    <w:rsid w:val="005C6CA6"/>
    <w:rsid w:val="006E51DA"/>
    <w:rsid w:val="00886A2E"/>
    <w:rsid w:val="008C3C60"/>
    <w:rsid w:val="00932841"/>
    <w:rsid w:val="009E45E2"/>
    <w:rsid w:val="00A055BC"/>
    <w:rsid w:val="00A47AAA"/>
    <w:rsid w:val="00AA5A1C"/>
    <w:rsid w:val="00C17C44"/>
    <w:rsid w:val="00D91664"/>
    <w:rsid w:val="00DC6A06"/>
    <w:rsid w:val="00DF619E"/>
    <w:rsid w:val="00F02E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6B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D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45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055BC"/>
    <w:pPr>
      <w:ind w:left="720"/>
      <w:contextualSpacing/>
    </w:pPr>
  </w:style>
  <w:style w:type="character" w:styleId="Textoennegrita">
    <w:name w:val="Strong"/>
    <w:basedOn w:val="Fuentedeprrafopredeter"/>
    <w:uiPriority w:val="22"/>
    <w:qFormat/>
    <w:rsid w:val="00C17C44"/>
    <w:rPr>
      <w:b/>
      <w:bCs/>
    </w:rPr>
  </w:style>
  <w:style w:type="paragraph" w:styleId="Encabezado">
    <w:name w:val="header"/>
    <w:basedOn w:val="Normal"/>
    <w:link w:val="EncabezadoCar"/>
    <w:uiPriority w:val="99"/>
    <w:unhideWhenUsed/>
    <w:rsid w:val="005C6C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CA6"/>
  </w:style>
  <w:style w:type="paragraph" w:styleId="Piedepgina">
    <w:name w:val="footer"/>
    <w:basedOn w:val="Normal"/>
    <w:link w:val="PiedepginaCar"/>
    <w:uiPriority w:val="99"/>
    <w:unhideWhenUsed/>
    <w:rsid w:val="005C6C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CA6"/>
  </w:style>
  <w:style w:type="paragraph" w:styleId="Textodeglobo">
    <w:name w:val="Balloon Text"/>
    <w:basedOn w:val="Normal"/>
    <w:link w:val="TextodegloboCar"/>
    <w:uiPriority w:val="99"/>
    <w:semiHidden/>
    <w:unhideWhenUsed/>
    <w:rsid w:val="001E1BF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1B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D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45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055BC"/>
    <w:pPr>
      <w:ind w:left="720"/>
      <w:contextualSpacing/>
    </w:pPr>
  </w:style>
  <w:style w:type="character" w:styleId="Textoennegrita">
    <w:name w:val="Strong"/>
    <w:basedOn w:val="Fuentedeprrafopredeter"/>
    <w:uiPriority w:val="22"/>
    <w:qFormat/>
    <w:rsid w:val="00C17C44"/>
    <w:rPr>
      <w:b/>
      <w:bCs/>
    </w:rPr>
  </w:style>
  <w:style w:type="paragraph" w:styleId="Encabezado">
    <w:name w:val="header"/>
    <w:basedOn w:val="Normal"/>
    <w:link w:val="EncabezadoCar"/>
    <w:uiPriority w:val="99"/>
    <w:unhideWhenUsed/>
    <w:rsid w:val="005C6C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CA6"/>
  </w:style>
  <w:style w:type="paragraph" w:styleId="Piedepgina">
    <w:name w:val="footer"/>
    <w:basedOn w:val="Normal"/>
    <w:link w:val="PiedepginaCar"/>
    <w:uiPriority w:val="99"/>
    <w:unhideWhenUsed/>
    <w:rsid w:val="005C6C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CA6"/>
  </w:style>
  <w:style w:type="paragraph" w:styleId="Textodeglobo">
    <w:name w:val="Balloon Text"/>
    <w:basedOn w:val="Normal"/>
    <w:link w:val="TextodegloboCar"/>
    <w:uiPriority w:val="99"/>
    <w:semiHidden/>
    <w:unhideWhenUsed/>
    <w:rsid w:val="001E1BF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1B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872">
      <w:bodyDiv w:val="1"/>
      <w:marLeft w:val="0"/>
      <w:marRight w:val="0"/>
      <w:marTop w:val="0"/>
      <w:marBottom w:val="0"/>
      <w:divBdr>
        <w:top w:val="none" w:sz="0" w:space="0" w:color="auto"/>
        <w:left w:val="none" w:sz="0" w:space="0" w:color="auto"/>
        <w:bottom w:val="none" w:sz="0" w:space="0" w:color="auto"/>
        <w:right w:val="none" w:sz="0" w:space="0" w:color="auto"/>
      </w:divBdr>
    </w:div>
    <w:div w:id="628049739">
      <w:bodyDiv w:val="1"/>
      <w:marLeft w:val="0"/>
      <w:marRight w:val="0"/>
      <w:marTop w:val="0"/>
      <w:marBottom w:val="0"/>
      <w:divBdr>
        <w:top w:val="none" w:sz="0" w:space="0" w:color="auto"/>
        <w:left w:val="none" w:sz="0" w:space="0" w:color="auto"/>
        <w:bottom w:val="none" w:sz="0" w:space="0" w:color="auto"/>
        <w:right w:val="none" w:sz="0" w:space="0" w:color="auto"/>
      </w:divBdr>
    </w:div>
    <w:div w:id="759449735">
      <w:bodyDiv w:val="1"/>
      <w:marLeft w:val="0"/>
      <w:marRight w:val="0"/>
      <w:marTop w:val="0"/>
      <w:marBottom w:val="0"/>
      <w:divBdr>
        <w:top w:val="none" w:sz="0" w:space="0" w:color="auto"/>
        <w:left w:val="none" w:sz="0" w:space="0" w:color="auto"/>
        <w:bottom w:val="none" w:sz="0" w:space="0" w:color="auto"/>
        <w:right w:val="none" w:sz="0" w:space="0" w:color="auto"/>
      </w:divBdr>
    </w:div>
    <w:div w:id="781000991">
      <w:bodyDiv w:val="1"/>
      <w:marLeft w:val="0"/>
      <w:marRight w:val="0"/>
      <w:marTop w:val="0"/>
      <w:marBottom w:val="0"/>
      <w:divBdr>
        <w:top w:val="none" w:sz="0" w:space="0" w:color="auto"/>
        <w:left w:val="none" w:sz="0" w:space="0" w:color="auto"/>
        <w:bottom w:val="none" w:sz="0" w:space="0" w:color="auto"/>
        <w:right w:val="none" w:sz="0" w:space="0" w:color="auto"/>
      </w:divBdr>
    </w:div>
    <w:div w:id="1474524199">
      <w:bodyDiv w:val="1"/>
      <w:marLeft w:val="0"/>
      <w:marRight w:val="0"/>
      <w:marTop w:val="0"/>
      <w:marBottom w:val="0"/>
      <w:divBdr>
        <w:top w:val="none" w:sz="0" w:space="0" w:color="auto"/>
        <w:left w:val="none" w:sz="0" w:space="0" w:color="auto"/>
        <w:bottom w:val="none" w:sz="0" w:space="0" w:color="auto"/>
        <w:right w:val="none" w:sz="0" w:space="0" w:color="auto"/>
      </w:divBdr>
    </w:div>
    <w:div w:id="1518814907">
      <w:bodyDiv w:val="1"/>
      <w:marLeft w:val="0"/>
      <w:marRight w:val="0"/>
      <w:marTop w:val="0"/>
      <w:marBottom w:val="0"/>
      <w:divBdr>
        <w:top w:val="none" w:sz="0" w:space="0" w:color="auto"/>
        <w:left w:val="none" w:sz="0" w:space="0" w:color="auto"/>
        <w:bottom w:val="none" w:sz="0" w:space="0" w:color="auto"/>
        <w:right w:val="none" w:sz="0" w:space="0" w:color="auto"/>
      </w:divBdr>
    </w:div>
    <w:div w:id="19303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8992</Characters>
  <Application>Microsoft Macintosh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2018-04-04T18:34:00Z</dcterms:created>
  <dcterms:modified xsi:type="dcterms:W3CDTF">2018-04-04T18:35:00Z</dcterms:modified>
</cp:coreProperties>
</file>