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ogo"/>
        <w:jc w:val="center"/>
      </w:pPr>
      <w:r>
        <w:drawing>
          <wp:inline distT="0" distB="0" distL="0" distR="0">
            <wp:extent cx="1426636" cy="945033"/>
            <wp:effectExtent l="0" t="0" r="0" b="0"/>
            <wp:docPr id="1073741827" name="officeArt object" descr="cid:image001.gif@01D033D7.D6812F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id:image001.gif@01D033D7.D6812F00" descr="cid:image001.gif@01D033D7.D6812F0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36" cy="945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ogo"/>
        <w:jc w:val="center"/>
      </w:pPr>
    </w:p>
    <w:p>
      <w:pPr>
        <w:pStyle w:val="logo"/>
        <w:jc w:val="center"/>
      </w:pPr>
    </w:p>
    <w:p>
      <w:pPr>
        <w:pStyle w:val="Sin espaciado"/>
        <w:jc w:val="center"/>
        <w:rPr>
          <w:sz w:val="36"/>
          <w:szCs w:val="36"/>
        </w:rPr>
      </w:pPr>
    </w:p>
    <w:p>
      <w:pPr>
        <w:pStyle w:val="Sin espaciado"/>
        <w:jc w:val="both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s-ES_tradnl"/>
        </w:rPr>
        <w:t>Plan de Acci</w:t>
      </w:r>
      <w:r>
        <w:rPr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b w:val="1"/>
          <w:bCs w:val="1"/>
          <w:sz w:val="36"/>
          <w:szCs w:val="36"/>
          <w:rtl w:val="0"/>
          <w:lang w:val="es-ES_tradnl"/>
        </w:rPr>
        <w:t>n para ayudar desde el sector de la discapacidad a aumentar la asignaci</w:t>
      </w:r>
      <w:r>
        <w:rPr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b w:val="1"/>
          <w:bCs w:val="1"/>
          <w:sz w:val="36"/>
          <w:szCs w:val="36"/>
          <w:rtl w:val="0"/>
          <w:lang w:val="es-ES_tradnl"/>
        </w:rPr>
        <w:t>n tributaria del 0,7% del IRPF para fines sociales</w:t>
      </w:r>
    </w:p>
    <w:p>
      <w:pPr>
        <w:pStyle w:val="Sin espaciado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b w:val="1"/>
          <w:bCs w:val="1"/>
          <w:sz w:val="36"/>
          <w:szCs w:val="36"/>
        </w:rPr>
      </w:pPr>
    </w:p>
    <w:p>
      <w:pPr>
        <w:pStyle w:val="Sin espaciado"/>
        <w:jc w:val="center"/>
        <w:rPr>
          <w:b w:val="1"/>
          <w:bCs w:val="1"/>
          <w:sz w:val="36"/>
          <w:szCs w:val="36"/>
        </w:rPr>
      </w:pPr>
    </w:p>
    <w:p>
      <w:pPr>
        <w:pStyle w:val="Sin espaciado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s-ES_tradnl"/>
        </w:rPr>
        <w:t>Campa</w:t>
      </w:r>
      <w:r>
        <w:rPr>
          <w:b w:val="1"/>
          <w:bCs w:val="1"/>
          <w:sz w:val="36"/>
          <w:szCs w:val="36"/>
          <w:rtl w:val="0"/>
          <w:lang w:val="es-ES_tradnl"/>
        </w:rPr>
        <w:t>ñ</w:t>
      </w:r>
      <w:r>
        <w:rPr>
          <w:b w:val="1"/>
          <w:bCs w:val="1"/>
          <w:sz w:val="36"/>
          <w:szCs w:val="36"/>
          <w:rtl w:val="0"/>
          <w:lang w:val="es-ES_tradnl"/>
        </w:rPr>
        <w:t>a IRPF 2017</w:t>
      </w:r>
    </w:p>
    <w:p>
      <w:pPr>
        <w:pStyle w:val="Sin espaciado"/>
        <w:jc w:val="center"/>
        <w:rPr>
          <w:b w:val="1"/>
          <w:bCs w:val="1"/>
          <w:sz w:val="36"/>
          <w:szCs w:val="36"/>
        </w:rPr>
      </w:pPr>
    </w:p>
    <w:p>
      <w:pPr>
        <w:pStyle w:val="Sin espaciado"/>
        <w:jc w:val="center"/>
        <w:rPr>
          <w:b w:val="1"/>
          <w:bCs w:val="1"/>
          <w:sz w:val="36"/>
          <w:szCs w:val="36"/>
        </w:rPr>
      </w:pPr>
    </w:p>
    <w:p>
      <w:pPr>
        <w:pStyle w:val="Sin espaciado"/>
        <w:jc w:val="center"/>
        <w:rPr>
          <w:b w:val="1"/>
          <w:bCs w:val="1"/>
          <w:sz w:val="36"/>
          <w:szCs w:val="36"/>
        </w:rPr>
      </w:pPr>
    </w:p>
    <w:p>
      <w:pPr>
        <w:pStyle w:val="Sin espaciado"/>
        <w:jc w:val="center"/>
        <w:rPr>
          <w:b w:val="1"/>
          <w:bCs w:val="1"/>
          <w:i w:val="1"/>
          <w:iCs w:val="1"/>
          <w:color w:val="ff6600"/>
          <w:sz w:val="36"/>
          <w:szCs w:val="36"/>
          <w:u w:color="ff6600"/>
        </w:rPr>
      </w:pPr>
      <w:r>
        <w:rPr>
          <w:b w:val="1"/>
          <w:bCs w:val="1"/>
          <w:i w:val="1"/>
          <w:iCs w:val="1"/>
          <w:color w:val="ff6600"/>
          <w:sz w:val="36"/>
          <w:szCs w:val="36"/>
          <w:u w:color="ff6600"/>
          <w:rtl w:val="0"/>
          <w:lang w:val="es-ES_tradnl"/>
        </w:rPr>
        <w:t>Aprobado por el Comit</w:t>
      </w:r>
      <w:r>
        <w:rPr>
          <w:b w:val="1"/>
          <w:bCs w:val="1"/>
          <w:i w:val="1"/>
          <w:iCs w:val="1"/>
          <w:color w:val="ff6600"/>
          <w:sz w:val="36"/>
          <w:szCs w:val="36"/>
          <w:u w:color="ff6600"/>
          <w:rtl w:val="0"/>
          <w:lang w:val="es-ES_tradnl"/>
        </w:rPr>
        <w:t xml:space="preserve">é </w:t>
      </w:r>
      <w:r>
        <w:rPr>
          <w:b w:val="1"/>
          <w:bCs w:val="1"/>
          <w:i w:val="1"/>
          <w:iCs w:val="1"/>
          <w:color w:val="ff6600"/>
          <w:sz w:val="36"/>
          <w:szCs w:val="36"/>
          <w:u w:color="ff6600"/>
          <w:rtl w:val="0"/>
          <w:lang w:val="es-ES_tradnl"/>
        </w:rPr>
        <w:t>Ejecutivo en su reuni</w:t>
      </w:r>
      <w:r>
        <w:rPr>
          <w:b w:val="1"/>
          <w:bCs w:val="1"/>
          <w:i w:val="1"/>
          <w:iCs w:val="1"/>
          <w:color w:val="ff6600"/>
          <w:sz w:val="36"/>
          <w:szCs w:val="36"/>
          <w:u w:color="ff6600"/>
          <w:rtl w:val="0"/>
          <w:lang w:val="es-ES_tradnl"/>
        </w:rPr>
        <w:t>ó</w:t>
      </w:r>
      <w:r>
        <w:rPr>
          <w:b w:val="1"/>
          <w:bCs w:val="1"/>
          <w:i w:val="1"/>
          <w:iCs w:val="1"/>
          <w:color w:val="ff6600"/>
          <w:sz w:val="36"/>
          <w:szCs w:val="36"/>
          <w:u w:color="ff6600"/>
          <w:rtl w:val="0"/>
          <w:lang w:val="es-ES_tradnl"/>
        </w:rPr>
        <w:t>n de 5 de abril de 2018</w:t>
      </w:r>
    </w:p>
    <w:p>
      <w:pPr>
        <w:pStyle w:val="Sin espaciado"/>
        <w:jc w:val="right"/>
        <w:rPr>
          <w:sz w:val="36"/>
          <w:szCs w:val="36"/>
        </w:rPr>
      </w:pPr>
    </w:p>
    <w:p>
      <w:pPr>
        <w:pStyle w:val="Sin espaciado"/>
        <w:jc w:val="right"/>
        <w:rPr>
          <w:sz w:val="36"/>
          <w:szCs w:val="36"/>
        </w:rPr>
      </w:pPr>
    </w:p>
    <w:p>
      <w:pPr>
        <w:pStyle w:val="Sin espaciado"/>
        <w:jc w:val="righ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5 de abril de 2018</w:t>
      </w:r>
    </w:p>
    <w:p>
      <w:pPr>
        <w:pStyle w:val="Sin espaciado"/>
        <w:ind w:left="3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Sin espaciado"/>
        <w:ind w:left="360" w:firstLine="0"/>
        <w:rPr>
          <w:b w:val="1"/>
          <w:bCs w:val="1"/>
          <w:u w:val="single"/>
        </w:rPr>
      </w:pPr>
    </w:p>
    <w:p>
      <w:pPr>
        <w:pStyle w:val="Sin espaciado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u w:val="single"/>
          <w:rtl w:val="0"/>
          <w:lang w:val="es-ES_tradnl"/>
        </w:rPr>
        <w:t>Objeto.</w:t>
      </w:r>
    </w:p>
    <w:p>
      <w:pPr>
        <w:pStyle w:val="Sin espaciado"/>
        <w:ind w:left="720" w:firstLine="0"/>
        <w:jc w:val="both"/>
      </w:pPr>
    </w:p>
    <w:p>
      <w:pPr>
        <w:pStyle w:val="Sin espaciado"/>
        <w:ind w:left="720" w:firstLine="0"/>
        <w:jc w:val="both"/>
      </w:pPr>
      <w:r>
        <w:rPr>
          <w:rtl w:val="0"/>
          <w:lang w:val="es-ES_tradnl"/>
        </w:rPr>
        <w:t>Plantear una serie coordinada y coherente de iniciativas, medidas y acciones, de car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cter voluntario, con el fin de desarrollar desde las organizaciones del sector de la discapacidad, una actividad intensa dirigida a aumentar, por parte de quienes contribuyen con sus impuestos, la asignaci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tributaria del 0,7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% del IRPF para fines sociales.</w:t>
      </w:r>
    </w:p>
    <w:p>
      <w:pPr>
        <w:pStyle w:val="Sin espaciado"/>
        <w:ind w:left="720" w:firstLine="0"/>
        <w:jc w:val="both"/>
      </w:pPr>
    </w:p>
    <w:p>
      <w:pPr>
        <w:pStyle w:val="Sin espaciado"/>
        <w:ind w:left="720" w:firstLine="0"/>
        <w:jc w:val="both"/>
      </w:pPr>
      <w:r>
        <w:rPr>
          <w:rtl w:val="0"/>
          <w:lang w:val="es-ES_tradnl"/>
        </w:rPr>
        <w:t>Con esta actividad se persigue ayudar a extender entre las personas que contribuyen con el IRPF y que todav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no marcan la X de fines sociales, la toma de conciencia sobre esta asignaci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que lo hagan efectivamente en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IRPF 2017 (que se desarrolla en 2018). De este modo, se incrementar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los fondos para las ONGS sociales procedentes del 0,7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% y se mejorar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el marco de sostenibilidad financiera de las estructuras de la discapacidad organizada, siempre precario y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en estos momentos </w:t>
      </w:r>
      <w:r>
        <w:rPr>
          <w:rtl w:val="0"/>
          <w:lang w:val="es-ES_tradnl"/>
        </w:rPr>
        <w:t>en los que la</w:t>
      </w:r>
      <w:r>
        <w:rPr>
          <w:rtl w:val="0"/>
          <w:lang w:val="es-ES_tradnl"/>
        </w:rPr>
        <w:t xml:space="preserve"> crisi</w:t>
      </w:r>
      <w:r>
        <w:rPr>
          <w:rtl w:val="0"/>
          <w:lang w:val="es-ES_tradnl"/>
        </w:rPr>
        <w:t>s a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no ha desaparecido.</w:t>
      </w:r>
    </w:p>
    <w:p>
      <w:pPr>
        <w:pStyle w:val="Sin espaciado"/>
        <w:ind w:left="720" w:firstLine="0"/>
        <w:rPr>
          <w:b w:val="1"/>
          <w:bCs w:val="1"/>
        </w:rPr>
      </w:pPr>
    </w:p>
    <w:p>
      <w:pPr>
        <w:pStyle w:val="Sin espaciado"/>
        <w:ind w:left="720" w:firstLine="0"/>
        <w:rPr>
          <w:b w:val="1"/>
          <w:bCs w:val="1"/>
        </w:rPr>
      </w:pPr>
    </w:p>
    <w:p>
      <w:pPr>
        <w:pStyle w:val="Sin espaciado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u w:val="single"/>
          <w:rtl w:val="0"/>
          <w:lang w:val="es-ES_tradnl"/>
        </w:rPr>
        <w:t>Car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cter del Plan.</w:t>
      </w:r>
    </w:p>
    <w:p>
      <w:pPr>
        <w:pStyle w:val="Sin espaciado"/>
        <w:ind w:left="720" w:firstLine="0"/>
        <w:rPr>
          <w:b w:val="1"/>
          <w:bCs w:val="1"/>
        </w:rPr>
      </w:pPr>
    </w:p>
    <w:p>
      <w:pPr>
        <w:pStyle w:val="Sin espaciado"/>
        <w:ind w:left="720" w:firstLine="0"/>
        <w:jc w:val="both"/>
      </w:pPr>
      <w:r>
        <w:rPr>
          <w:rtl w:val="0"/>
          <w:lang w:val="es-ES_tradnl"/>
        </w:rPr>
        <w:t>Se trata de un Plan de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promovido por el CERMI previo acuerdo con sus Organizaciones, de adhesi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voluntaria por parte de </w:t>
      </w:r>
      <w:r>
        <w:rPr>
          <w:rtl w:val="0"/>
          <w:lang w:val="es-ES_tradnl"/>
        </w:rPr>
        <w:t>e</w:t>
      </w:r>
      <w:r>
        <w:rPr>
          <w:rtl w:val="0"/>
          <w:lang w:val="es-ES_tradnl"/>
        </w:rPr>
        <w:t>stas, y que no trata de imponer o comprometer conductas, sino de estimular y marcar orientaciones y tendencias que de llevarse a cabo beneficiar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globalmente al todo el sector de la discapacidad.</w:t>
      </w:r>
    </w:p>
    <w:p>
      <w:pPr>
        <w:pStyle w:val="Sin espaciado"/>
        <w:ind w:left="720" w:firstLine="0"/>
        <w:jc w:val="both"/>
      </w:pPr>
    </w:p>
    <w:p>
      <w:pPr>
        <w:pStyle w:val="Sin espaciado"/>
        <w:ind w:left="720" w:firstLine="0"/>
        <w:jc w:val="both"/>
      </w:pPr>
      <w:r>
        <w:rPr>
          <w:rtl w:val="0"/>
          <w:lang w:val="es-ES_tradnl"/>
        </w:rPr>
        <w:t>Este Plan no sustituye, sino que aspira a ser complementario, al que cada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del CERMI pudiera o espera tener establecido para su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mbito o los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gen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ricos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ados por instancias suprasociales como las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de la Plataforma del Tercer Sector o de la Plataforma de ONGs de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Social.   </w:t>
      </w:r>
    </w:p>
    <w:p>
      <w:pPr>
        <w:pStyle w:val="Sin espaciado"/>
        <w:ind w:left="720" w:firstLine="0"/>
        <w:rPr>
          <w:b w:val="1"/>
          <w:bCs w:val="1"/>
        </w:rPr>
      </w:pPr>
    </w:p>
    <w:p>
      <w:pPr>
        <w:pStyle w:val="Sin espaciado"/>
        <w:ind w:left="720" w:firstLine="0"/>
        <w:rPr>
          <w:b w:val="1"/>
          <w:bCs w:val="1"/>
        </w:rPr>
      </w:pPr>
    </w:p>
    <w:p>
      <w:pPr>
        <w:pStyle w:val="Sin espaciado"/>
        <w:ind w:left="720" w:firstLine="0"/>
        <w:rPr>
          <w:b w:val="1"/>
          <w:bCs w:val="1"/>
        </w:rPr>
      </w:pPr>
    </w:p>
    <w:p>
      <w:pPr>
        <w:pStyle w:val="Sin espaciado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u w:val="single"/>
          <w:rtl w:val="0"/>
          <w:lang w:val="es-ES_tradnl"/>
        </w:rPr>
        <w:t>Medidas.</w:t>
      </w:r>
    </w:p>
    <w:p>
      <w:pPr>
        <w:pStyle w:val="Sin espaciado"/>
        <w:ind w:left="720" w:firstLine="0"/>
        <w:rPr>
          <w:b w:val="1"/>
          <w:bCs w:val="1"/>
        </w:rPr>
      </w:pPr>
    </w:p>
    <w:p>
      <w:pPr>
        <w:pStyle w:val="Sin espaciado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En el 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mbito interno de cada Organizaci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</w:t>
      </w:r>
    </w:p>
    <w:p>
      <w:pPr>
        <w:pStyle w:val="Sin espaciado"/>
        <w:ind w:left="1440" w:firstLine="0"/>
        <w:jc w:val="both"/>
        <w:rPr>
          <w:b w:val="1"/>
          <w:bCs w:val="1"/>
        </w:rPr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Invitar y solicitar a las personas trabajadoras, colaboradoras, afiliadas, socias y simpatizantes de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de un modo activo, que marquen la X de fines sociales en su declaraci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renta, y que extiendan este buen h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bito a su 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rculo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cercano.</w:t>
      </w:r>
    </w:p>
    <w:p>
      <w:pPr>
        <w:pStyle w:val="Sin espaciado"/>
        <w:ind w:left="1800" w:firstLine="0"/>
        <w:jc w:val="both"/>
      </w:pPr>
    </w:p>
    <w:p>
      <w:pPr>
        <w:pStyle w:val="Sin espaciado"/>
        <w:ind w:left="1800" w:firstLine="0"/>
        <w:jc w:val="both"/>
      </w:pPr>
      <w:r>
        <w:rPr>
          <w:rtl w:val="0"/>
          <w:lang w:val="es-ES_tradnl"/>
        </w:rPr>
        <w:t>En el caso del equipo humano dependiente de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(y de sus Entidades miembro), dirigirles un escrito con esta solicitud, argumentado, motivado y persuasivo, que se 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 a la entrega de la 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mina de los meses que coincidan con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IRPF o al certificado de retenciones correspondiente al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que se declara, haci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ndoles ver la importancia de los fondos del IRPF para el mantenimiento global del empleo en el sector social.</w:t>
      </w:r>
    </w:p>
    <w:p>
      <w:pPr>
        <w:pStyle w:val="Sin espaciado"/>
        <w:ind w:left="1800" w:firstLine="0"/>
        <w:jc w:val="both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En el caso de que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(o sus Entidades miembro) preste servicios (bien en solitario o en colaboraci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la autoridad tributaria) de apoyo a sus asociados, afiliados o simpatizantes para confeccionar su declaraci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renta, aconsejar a </w:t>
      </w:r>
      <w:r>
        <w:rPr>
          <w:rtl w:val="0"/>
          <w:lang w:val="es-ES_tradnl"/>
        </w:rPr>
        <w:t>e</w:t>
      </w:r>
      <w:r>
        <w:rPr>
          <w:rtl w:val="0"/>
          <w:lang w:val="es-ES_tradnl"/>
        </w:rPr>
        <w:t>stos la marcaci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 X solidaria en sus respectivas declaraciones. </w:t>
      </w:r>
    </w:p>
    <w:p>
      <w:pPr>
        <w:pStyle w:val="Sin espaciado"/>
        <w:ind w:left="1800" w:firstLine="0"/>
        <w:jc w:val="both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Extender esta labor activa de convencimiento a todas las personas que reciben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orientaci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apoyo de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(o de sus Entidades miembro) o que participan en sus programas o iniciativas sociales, haci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ndoles ver mediante la entrega de un escrito, folleto o cualquier material informativo, lo decisivo que es marcar la X solidaria para el mantenimiento de las acciones de las que se benefician. </w:t>
      </w:r>
    </w:p>
    <w:p>
      <w:pPr>
        <w:pStyle w:val="Sin espaciado"/>
        <w:jc w:val="both"/>
      </w:pPr>
    </w:p>
    <w:p>
      <w:pPr>
        <w:pStyle w:val="Sin espaciado"/>
        <w:jc w:val="both"/>
      </w:pPr>
    </w:p>
    <w:p>
      <w:pPr>
        <w:pStyle w:val="Sin espaciado"/>
        <w:jc w:val="both"/>
      </w:pPr>
    </w:p>
    <w:p>
      <w:pPr>
        <w:pStyle w:val="Sin espaciado"/>
        <w:numPr>
          <w:ilvl w:val="1"/>
          <w:numId w:val="5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En el 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mbito de la comunicaci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 imagen.</w:t>
      </w:r>
    </w:p>
    <w:p>
      <w:pPr>
        <w:pStyle w:val="Sin espaciado"/>
        <w:ind w:left="720" w:firstLine="0"/>
        <w:jc w:val="both"/>
        <w:rPr>
          <w:b w:val="1"/>
          <w:bCs w:val="1"/>
        </w:rPr>
      </w:pPr>
    </w:p>
    <w:p>
      <w:pPr>
        <w:pStyle w:val="Sin espaciado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0"/>
          <w:bCs w:val="0"/>
          <w:rtl w:val="0"/>
          <w:lang w:val="es-ES_tradnl"/>
        </w:rPr>
        <w:t xml:space="preserve">Dedicar </w:t>
      </w:r>
      <w:r>
        <w:rPr>
          <w:b w:val="0"/>
          <w:bCs w:val="0"/>
          <w:rtl w:val="0"/>
          <w:lang w:val="es-ES_tradnl"/>
        </w:rPr>
        <w:t>í</w:t>
      </w:r>
      <w:r>
        <w:rPr>
          <w:b w:val="0"/>
          <w:bCs w:val="0"/>
          <w:rtl w:val="0"/>
          <w:lang w:val="es-ES_tradnl"/>
        </w:rPr>
        <w:t xml:space="preserve">ntegramente la portada del 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rgano de expresi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de la Organizaci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(y de sus Entidades miembro) la necesidad de marcar la X solidaria, siguiendo las directrices y el material gr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>fico de la Plataforma de ONGs de Acci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Social. A este prop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sito, se propone que todas las portadas de las revistas de las Organizaciones del CERMI del mes de mayo de 2018 se dediquen a la vez a la campa</w:t>
      </w:r>
      <w:r>
        <w:rPr>
          <w:b w:val="0"/>
          <w:bCs w:val="0"/>
          <w:rtl w:val="0"/>
          <w:lang w:val="es-ES_tradnl"/>
        </w:rPr>
        <w:t>ñ</w:t>
      </w:r>
      <w:r>
        <w:rPr>
          <w:b w:val="0"/>
          <w:bCs w:val="0"/>
          <w:rtl w:val="0"/>
          <w:lang w:val="es-ES_tradnl"/>
        </w:rPr>
        <w:t>a de la X solidaria, de modo que todas las revistas y boletines del sector social de la discapacidad salgan con el mismo motivo en su p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 xml:space="preserve">gina de inicio. </w:t>
      </w:r>
    </w:p>
    <w:p>
      <w:pPr>
        <w:pStyle w:val="Sin espaciado"/>
        <w:ind w:left="1800" w:firstLine="0"/>
        <w:jc w:val="both"/>
        <w:rPr>
          <w:b w:val="1"/>
          <w:bCs w:val="1"/>
        </w:rPr>
      </w:pPr>
    </w:p>
    <w:p>
      <w:pPr>
        <w:pStyle w:val="Sin espaciado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0"/>
          <w:bCs w:val="0"/>
          <w:rtl w:val="0"/>
          <w:lang w:val="es-ES_tradnl"/>
        </w:rPr>
        <w:t>Incorporar a las p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>ginas de Internet corporativas de cada Organizaci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(y de sus Entidades miembro), durante todos los meses que dure la campa</w:t>
      </w:r>
      <w:r>
        <w:rPr>
          <w:b w:val="0"/>
          <w:bCs w:val="0"/>
          <w:rtl w:val="0"/>
          <w:lang w:val="es-ES_tradnl"/>
        </w:rPr>
        <w:t>ñ</w:t>
      </w:r>
      <w:r>
        <w:rPr>
          <w:b w:val="0"/>
          <w:bCs w:val="0"/>
          <w:rtl w:val="0"/>
          <w:lang w:val="es-ES_tradnl"/>
        </w:rPr>
        <w:t>a del IRPF en 2018, un pantallazo de duraci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moment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>nea (varios segundos) dedicado a la X solidaria, de forma que sea lo primero que perciba la persona que entra en la p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>gina de Internet y se le quede grabado en la memoria.</w:t>
      </w:r>
    </w:p>
    <w:p>
      <w:pPr>
        <w:pStyle w:val="Sin espaciado"/>
        <w:ind w:left="1800" w:firstLine="0"/>
        <w:jc w:val="both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del pantallazo, incorporar a cada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 de Internet corporativa una secci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espec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fica, bien perceptible, sobre la X solidaria, con material informativo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a, o bien que redirija a otras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ginas de Internet confeccionadas a tal efecto.</w:t>
      </w:r>
    </w:p>
    <w:p>
      <w:pPr>
        <w:pStyle w:val="Sin espaciado"/>
        <w:ind w:left="1800" w:firstLine="0"/>
        <w:jc w:val="both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Incluir como pie de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 publicitario en todos los correos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nicos que se emitan desde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(y desde sus Entidades miembro)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sobre la X solidaria, con mensajes persuasivos, lemas y esl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ganes, y remitiendo a direcciones de Internet, para que los receptores de los correos capten la necesidad de marcar la X.</w:t>
      </w:r>
    </w:p>
    <w:p>
      <w:pPr>
        <w:pStyle w:val="Sin espaciado"/>
        <w:ind w:left="1800" w:firstLine="0"/>
        <w:jc w:val="both"/>
      </w:pPr>
      <w:r>
        <w:rPr>
          <w:rtl w:val="0"/>
          <w:lang w:val="es-ES_tradnl"/>
        </w:rPr>
        <w:t xml:space="preserve">  </w:t>
      </w: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Sumarse a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la Plataforma de ONGs de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Social de instalar vallas, lonas y carteler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publicitarias en el exterior de los edificios (fachadas, escaparates, ventanales, vidrieras, etc.) de las ONGs dedicadas a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la X solidaria, para captar la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viandantes y automovilistas.</w:t>
      </w:r>
    </w:p>
    <w:p>
      <w:pPr>
        <w:pStyle w:val="Sin espaciado"/>
        <w:jc w:val="both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En el caso de las organizaciones que figuren dadas de alta en redes sociales, utilizar de este medio como forma de difusi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Párrafo de lista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Entrar en contacto y tratar de obtener de las empresas y corporaciones con las que el sector de la discapacidad mantiene relaciones el compromiso de incluir en sus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de publicidad (del mismo modo que cuando patrocinan oficialmente un evento, que aparece una leyenda y un logo al final o una locuci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sonora) el mensaje de marcar la X solidaria. </w:t>
      </w:r>
    </w:p>
    <w:p>
      <w:pPr>
        <w:pStyle w:val="Sin espaciado"/>
        <w:jc w:val="both"/>
      </w:pPr>
    </w:p>
    <w:p>
      <w:pPr>
        <w:pStyle w:val="Sin espaciado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0"/>
          <w:bCs w:val="0"/>
          <w:rtl w:val="0"/>
          <w:lang w:val="es-ES_tradnl"/>
        </w:rPr>
        <w:t>Trasladar el material informativo de la campa</w:t>
      </w:r>
      <w:r>
        <w:rPr>
          <w:b w:val="0"/>
          <w:bCs w:val="0"/>
          <w:rtl w:val="0"/>
          <w:lang w:val="es-ES_tradnl"/>
        </w:rPr>
        <w:t>ñ</w:t>
      </w:r>
      <w:r>
        <w:rPr>
          <w:b w:val="0"/>
          <w:bCs w:val="0"/>
          <w:rtl w:val="0"/>
          <w:lang w:val="es-ES_tradnl"/>
        </w:rPr>
        <w:t>a a los asesores fiscales y gestor</w:t>
      </w:r>
      <w:r>
        <w:rPr>
          <w:b w:val="0"/>
          <w:bCs w:val="0"/>
          <w:rtl w:val="0"/>
          <w:lang w:val="es-ES_tradnl"/>
        </w:rPr>
        <w:t>í</w:t>
      </w:r>
      <w:r>
        <w:rPr>
          <w:b w:val="0"/>
          <w:bCs w:val="0"/>
          <w:rtl w:val="0"/>
          <w:lang w:val="es-ES_tradnl"/>
        </w:rPr>
        <w:t>as, a trav</w:t>
      </w:r>
      <w:r>
        <w:rPr>
          <w:b w:val="0"/>
          <w:bCs w:val="0"/>
          <w:rtl w:val="0"/>
          <w:lang w:val="es-ES_tradnl"/>
        </w:rPr>
        <w:t>é</w:t>
      </w:r>
      <w:r>
        <w:rPr>
          <w:b w:val="0"/>
          <w:bCs w:val="0"/>
          <w:rtl w:val="0"/>
          <w:lang w:val="es-ES_tradnl"/>
        </w:rPr>
        <w:t>s de la Asociaci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Espa</w:t>
      </w:r>
      <w:r>
        <w:rPr>
          <w:b w:val="0"/>
          <w:bCs w:val="0"/>
          <w:rtl w:val="0"/>
          <w:lang w:val="es-ES_tradnl"/>
        </w:rPr>
        <w:t>ñ</w:t>
      </w:r>
      <w:r>
        <w:rPr>
          <w:b w:val="0"/>
          <w:bCs w:val="0"/>
          <w:rtl w:val="0"/>
          <w:lang w:val="es-ES_tradnl"/>
        </w:rPr>
        <w:t>ola de Asesores Fiscales y Gestores Tributarios y los Colegios profesionales de Economistas y Abogados, para su difusi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entre los asociados y colegiados, con el fin de que puedan aconsejar a los contribuyentes, implicando as</w:t>
      </w:r>
      <w:r>
        <w:rPr>
          <w:b w:val="0"/>
          <w:bCs w:val="0"/>
          <w:rtl w:val="0"/>
          <w:lang w:val="es-ES_tradnl"/>
        </w:rPr>
        <w:t xml:space="preserve">í </w:t>
      </w:r>
      <w:r>
        <w:rPr>
          <w:b w:val="0"/>
          <w:bCs w:val="0"/>
          <w:rtl w:val="0"/>
          <w:lang w:val="es-ES_tradnl"/>
        </w:rPr>
        <w:t>a este sector profesional en nuestra iniciativa.</w:t>
      </w:r>
    </w:p>
    <w:p>
      <w:pPr>
        <w:pStyle w:val="Sin espaciado"/>
        <w:ind w:left="1440" w:firstLine="0"/>
        <w:jc w:val="both"/>
        <w:rPr>
          <w:b w:val="1"/>
          <w:bCs w:val="1"/>
        </w:rPr>
      </w:pPr>
    </w:p>
    <w:p>
      <w:pPr>
        <w:pStyle w:val="Sin espaciado"/>
        <w:ind w:left="1440" w:firstLine="0"/>
        <w:jc w:val="both"/>
        <w:rPr>
          <w:b w:val="1"/>
          <w:bCs w:val="1"/>
        </w:rPr>
      </w:pPr>
    </w:p>
    <w:p>
      <w:pPr>
        <w:pStyle w:val="Sin espaciado"/>
        <w:numPr>
          <w:ilvl w:val="1"/>
          <w:numId w:val="6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En el 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mbito estricto del CERMI (y CERMIS Auton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micos).</w:t>
      </w:r>
    </w:p>
    <w:p>
      <w:pPr>
        <w:pStyle w:val="Sin espaciado"/>
        <w:ind w:left="1440" w:firstLine="0"/>
        <w:jc w:val="both"/>
        <w:rPr>
          <w:b w:val="1"/>
          <w:bCs w:val="1"/>
        </w:rPr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Aplicar en el CERMI Estatal todas las medidas y acciones expuestas en los apartados anteriores, que sean factibles de llevar a cabo.</w:t>
      </w:r>
    </w:p>
    <w:p>
      <w:pPr>
        <w:pStyle w:val="Sin espaciado"/>
        <w:ind w:left="1800" w:firstLine="0"/>
        <w:jc w:val="both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Convocar una rueda de prensa en Servimedia, con el resto de grandes Plataformas sociales que deseen sumarse, como pistoletazo de salida de la acciones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X solidaria.</w:t>
      </w:r>
    </w:p>
    <w:p>
      <w:pPr>
        <w:pStyle w:val="Sin espaciado"/>
        <w:ind w:left="1800" w:firstLine="0"/>
        <w:jc w:val="both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Pedir a cada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CERMI Estatal que aporten 3-4 buenas pr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cticas de acciones sociales de su esfera sufragadas con cargo al 0,7% para trasladarlas a Servimedia a fin de que esta El CERMI ha puesto en marcha un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un plan de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espec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fico para que desde el mundo de la discapacidad y su entorno se incremente el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contribuyentes que marcan la cruz de fines de inter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s social en el impuesto de la </w:t>
      </w:r>
      <w:r>
        <w:rPr>
          <w:rtl w:val="0"/>
          <w:lang w:val="es-ES_tradnl"/>
        </w:rPr>
        <w:t>renta.</w:t>
      </w:r>
    </w:p>
    <w:p>
      <w:pPr>
        <w:pStyle w:val="Párrafo de lista"/>
        <w:ind w:left="0" w:firstLine="0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Las dos acciones anteriores, adaptadas a su respectiva realidad, se trasladar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a los CERMIS Auton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micos, lo que se traducir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en:</w:t>
      </w:r>
    </w:p>
    <w:p>
      <w:pPr>
        <w:pStyle w:val="Sin espaciado"/>
        <w:numPr>
          <w:ilvl w:val="1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Que cada CERMI Auton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 convoque una rueda de prensa en su territorio, al inicio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a, animando desde el sector de la discapacidad a la ciudadan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 sumarse a la X solidaria.</w:t>
      </w:r>
    </w:p>
    <w:p>
      <w:pPr>
        <w:pStyle w:val="Sin espaciado"/>
        <w:numPr>
          <w:ilvl w:val="1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Pedir a los CERMIS Auton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 que a su vez recopilen y decanten de sus Organizaciones miembro 3-4 buenas pr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cticas sufragadas con cargo al 0,7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% para trasladarlas a Servimedia y que las trate de colocar en los medios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mbito auton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mico.  </w:t>
      </w:r>
    </w:p>
    <w:p>
      <w:pPr>
        <w:pStyle w:val="Sin espaciado"/>
        <w:jc w:val="both"/>
      </w:pPr>
    </w:p>
    <w:p>
      <w:pPr>
        <w:pStyle w:val="Sin espaciado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u w:val="single"/>
          <w:rtl w:val="0"/>
          <w:lang w:val="es-ES_tradnl"/>
        </w:rPr>
        <w:t>Operativa.</w:t>
      </w:r>
    </w:p>
    <w:p>
      <w:pPr>
        <w:pStyle w:val="Sin espaciado"/>
        <w:ind w:left="720" w:firstLine="0"/>
        <w:jc w:val="both"/>
        <w:rPr>
          <w:b w:val="1"/>
          <w:bCs w:val="1"/>
        </w:rPr>
      </w:pPr>
    </w:p>
    <w:p>
      <w:pPr>
        <w:pStyle w:val="Sin espaciado"/>
        <w:ind w:left="720" w:firstLine="0"/>
        <w:jc w:val="both"/>
      </w:pPr>
      <w:r>
        <w:rPr>
          <w:rtl w:val="0"/>
          <w:lang w:val="es-ES_tradnl"/>
        </w:rPr>
        <w:t xml:space="preserve">Una vez adoptado formalmente el Plan en los 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rganos de gobierno del CERMI Estatal, se designar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las instancias internas encargadas del impulso, 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seguimiento del mismo, que ser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an:</w:t>
      </w:r>
    </w:p>
    <w:p>
      <w:pPr>
        <w:pStyle w:val="Sin espaciado"/>
        <w:ind w:left="720" w:firstLine="0"/>
        <w:jc w:val="both"/>
      </w:pP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Ejecutiva.</w:t>
      </w: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Gerencia.</w:t>
      </w: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Comisar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as, titular y adjunta, de CERMIS Auton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micos.</w:t>
      </w:r>
    </w:p>
    <w:p>
      <w:pPr>
        <w:pStyle w:val="Sin espaciado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n/Agencia Servimedia.</w:t>
      </w:r>
    </w:p>
    <w:p>
      <w:pPr>
        <w:pStyle w:val="Sin espaciado"/>
        <w:ind w:left="708" w:firstLine="0"/>
        <w:jc w:val="both"/>
      </w:pPr>
    </w:p>
    <w:p>
      <w:pPr>
        <w:pStyle w:val="Sin espaciado"/>
        <w:ind w:left="708" w:firstLine="0"/>
        <w:jc w:val="both"/>
      </w:pPr>
      <w:r>
        <w:rPr>
          <w:rtl w:val="0"/>
          <w:lang w:val="es-ES_tradnl"/>
        </w:rPr>
        <w:t>Estas instancias reportar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an a los 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rganos de gobierno del CERMI de la marcha y del balance de ejecuci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Plan.</w:t>
      </w:r>
    </w:p>
    <w:p>
      <w:pPr>
        <w:pStyle w:val="Sin espaciado"/>
        <w:jc w:val="both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2268" w:right="1418" w:bottom="1418" w:left="170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</w:p>
  <w:p>
    <w:pPr>
      <w:pStyle w:val="Pie de página"/>
      <w:tabs>
        <w:tab w:val="center" w:pos="1331"/>
        <w:tab w:val="right" w:pos="1561"/>
        <w:tab w:val="clear" w:pos="4252"/>
        <w:tab w:val="clear" w:pos="8504"/>
      </w:tabs>
      <w:ind w:right="360"/>
      <w:jc w:val="cen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</w:pPr>
    <w:r>
      <w:drawing>
        <wp:inline distT="0" distB="0" distL="0" distR="0">
          <wp:extent cx="1196340" cy="792481"/>
          <wp:effectExtent l="0" t="0" r="0" b="0"/>
          <wp:docPr id="1073741825" name="officeArt object" descr="cid:image001.gif@01D033D7.D6812F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d:image001.gif@01D033D7.D6812F00" descr="cid:image001.gif@01D033D7.D6812F0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792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Georgia" w:hAnsi="Georgia"/>
        <w:b w:val="1"/>
        <w:bCs w:val="1"/>
        <w:strike w:val="0"/>
        <w:dstrike w:val="0"/>
        <w:color w:val="4378bd"/>
        <w:sz w:val="22"/>
        <w:szCs w:val="22"/>
        <w:u w:val="none" w:color="4378bd"/>
        <w:rtl w:val="0"/>
      </w:rPr>
      <w:t xml:space="preserve">          </w:t>
      <w:tab/>
      <w:tab/>
      <w:t xml:space="preserve">      </w:t>
    </w:r>
    <w:r>
      <w:rPr>
        <w:b w:val="1"/>
        <w:bCs w:val="1"/>
        <w:color w:val="000000"/>
        <w:sz w:val="22"/>
        <w:szCs w:val="22"/>
        <w:u w:color="000000"/>
      </w:rPr>
      <w:drawing>
        <wp:inline distT="0" distB="0" distL="0" distR="0">
          <wp:extent cx="1828671" cy="45708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671" cy="457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4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56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5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64" w:hanging="6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6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2"/>
    </w:lvlOverride>
  </w:num>
  <w:num w:numId="6">
    <w:abstractNumId w:val="0"/>
    <w:lvlOverride w:ilvl="1">
      <w:startOverride w:val="3"/>
    </w:lvlOverride>
  </w:num>
  <w:num w:numId="7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Sin espaciado">
    <w:name w:val="Sin espaciado"/>
    <w:next w:val="Sin 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08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