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893FA7" w14:textId="77777777" w:rsidR="00337559" w:rsidRDefault="00337559" w:rsidP="00EC60BF">
      <w:pPr>
        <w:pBdr>
          <w:bottom w:val="single" w:sz="12" w:space="1" w:color="auto"/>
        </w:pBdr>
        <w:tabs>
          <w:tab w:val="left" w:pos="426"/>
        </w:tabs>
        <w:spacing w:line="360" w:lineRule="auto"/>
        <w:rPr>
          <w:rFonts w:ascii="Times New Roman" w:hAnsi="Times New Roman"/>
          <w:b/>
          <w:sz w:val="24"/>
          <w:szCs w:val="24"/>
        </w:rPr>
      </w:pPr>
    </w:p>
    <w:p w14:paraId="2C5B8BC3" w14:textId="2C32DFB8" w:rsidR="00337559" w:rsidRDefault="00337559" w:rsidP="00337559">
      <w:pPr>
        <w:pBdr>
          <w:bottom w:val="single" w:sz="12" w:space="1" w:color="auto"/>
        </w:pBdr>
        <w:tabs>
          <w:tab w:val="left" w:pos="426"/>
        </w:tabs>
        <w:spacing w:line="360" w:lineRule="auto"/>
        <w:jc w:val="center"/>
        <w:rPr>
          <w:rFonts w:ascii="Times New Roman" w:hAnsi="Times New Roman"/>
          <w:b/>
          <w:sz w:val="24"/>
          <w:szCs w:val="24"/>
        </w:rPr>
      </w:pPr>
      <w:r>
        <w:rPr>
          <w:rFonts w:ascii="Helvetica" w:eastAsiaTheme="minorHAnsi" w:hAnsi="Helvetica" w:cs="Helvetica"/>
          <w:noProof/>
          <w:sz w:val="24"/>
          <w:szCs w:val="24"/>
        </w:rPr>
        <w:drawing>
          <wp:inline distT="0" distB="0" distL="0" distR="0" wp14:anchorId="1C60D81B" wp14:editId="4A4F418D">
            <wp:extent cx="2070735" cy="1374462"/>
            <wp:effectExtent l="0" t="0" r="1206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70735" cy="1374462"/>
                    </a:xfrm>
                    <a:prstGeom prst="rect">
                      <a:avLst/>
                    </a:prstGeom>
                    <a:noFill/>
                    <a:ln>
                      <a:noFill/>
                    </a:ln>
                  </pic:spPr>
                </pic:pic>
              </a:graphicData>
            </a:graphic>
          </wp:inline>
        </w:drawing>
      </w:r>
      <w:r w:rsidR="00093F94" w:rsidRPr="00093F94">
        <w:rPr>
          <w:rFonts w:ascii="Helvetica" w:eastAsiaTheme="minorHAnsi" w:hAnsi="Helvetica" w:cs="Helvetica"/>
          <w:sz w:val="24"/>
          <w:szCs w:val="24"/>
          <w:lang w:eastAsia="en-US"/>
        </w:rPr>
        <w:t xml:space="preserve"> </w:t>
      </w:r>
      <w:r w:rsidR="00093F94">
        <w:rPr>
          <w:rFonts w:ascii="Helvetica" w:eastAsiaTheme="minorHAnsi" w:hAnsi="Helvetica" w:cs="Helvetica"/>
          <w:sz w:val="24"/>
          <w:szCs w:val="24"/>
          <w:lang w:eastAsia="en-US"/>
        </w:rPr>
        <w:t xml:space="preserve">      </w:t>
      </w:r>
      <w:bookmarkStart w:id="0" w:name="_GoBack"/>
      <w:bookmarkEnd w:id="0"/>
      <w:r w:rsidR="00093F94">
        <w:rPr>
          <w:rFonts w:ascii="Helvetica" w:eastAsiaTheme="minorHAnsi" w:hAnsi="Helvetica" w:cs="Helvetica"/>
          <w:noProof/>
          <w:sz w:val="24"/>
          <w:szCs w:val="24"/>
        </w:rPr>
        <w:drawing>
          <wp:inline distT="0" distB="0" distL="0" distR="0" wp14:anchorId="565E7105" wp14:editId="5A37DD55">
            <wp:extent cx="2566035" cy="1239963"/>
            <wp:effectExtent l="0" t="0" r="0" b="508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6035" cy="1239963"/>
                    </a:xfrm>
                    <a:prstGeom prst="rect">
                      <a:avLst/>
                    </a:prstGeom>
                    <a:noFill/>
                    <a:ln>
                      <a:noFill/>
                    </a:ln>
                  </pic:spPr>
                </pic:pic>
              </a:graphicData>
            </a:graphic>
          </wp:inline>
        </w:drawing>
      </w:r>
    </w:p>
    <w:p w14:paraId="4F0D841E" w14:textId="77777777" w:rsidR="00337559" w:rsidRPr="00337559" w:rsidRDefault="00337559" w:rsidP="00337559">
      <w:pPr>
        <w:pBdr>
          <w:bottom w:val="single" w:sz="12" w:space="1" w:color="auto"/>
        </w:pBdr>
        <w:tabs>
          <w:tab w:val="left" w:pos="426"/>
        </w:tabs>
        <w:spacing w:line="360" w:lineRule="auto"/>
        <w:rPr>
          <w:rFonts w:ascii="Times New Roman" w:hAnsi="Times New Roman"/>
          <w:b/>
          <w:sz w:val="24"/>
          <w:szCs w:val="24"/>
        </w:rPr>
      </w:pPr>
      <w:r w:rsidRPr="00337559">
        <w:rPr>
          <w:rFonts w:ascii="Times New Roman" w:hAnsi="Times New Roman"/>
          <w:b/>
          <w:sz w:val="24"/>
          <w:szCs w:val="24"/>
        </w:rPr>
        <w:t>IN</w:t>
      </w:r>
      <w:r>
        <w:rPr>
          <w:rFonts w:ascii="Times New Roman" w:hAnsi="Times New Roman"/>
          <w:b/>
          <w:sz w:val="24"/>
          <w:szCs w:val="24"/>
        </w:rPr>
        <w:t>FORME SOBRE ASPECTOS DE DISCAPA</w:t>
      </w:r>
      <w:r w:rsidRPr="00337559">
        <w:rPr>
          <w:rFonts w:ascii="Times New Roman" w:hAnsi="Times New Roman"/>
          <w:b/>
          <w:sz w:val="24"/>
          <w:szCs w:val="24"/>
        </w:rPr>
        <w:t>C</w:t>
      </w:r>
      <w:r>
        <w:rPr>
          <w:rFonts w:ascii="Times New Roman" w:hAnsi="Times New Roman"/>
          <w:b/>
          <w:sz w:val="24"/>
          <w:szCs w:val="24"/>
        </w:rPr>
        <w:t>I</w:t>
      </w:r>
      <w:r w:rsidRPr="00337559">
        <w:rPr>
          <w:rFonts w:ascii="Times New Roman" w:hAnsi="Times New Roman"/>
          <w:b/>
          <w:sz w:val="24"/>
          <w:szCs w:val="24"/>
        </w:rPr>
        <w:t>DAD D</w:t>
      </w:r>
      <w:r w:rsidR="00EC60BF" w:rsidRPr="00337559">
        <w:rPr>
          <w:rFonts w:ascii="Times New Roman" w:hAnsi="Times New Roman"/>
          <w:b/>
          <w:sz w:val="24"/>
          <w:szCs w:val="24"/>
        </w:rPr>
        <w:t>EL PLAN DIRECTOR POR UN TRABAJO DIGNO</w:t>
      </w:r>
      <w:r w:rsidRPr="00337559">
        <w:rPr>
          <w:rFonts w:ascii="Times New Roman" w:hAnsi="Times New Roman"/>
          <w:b/>
          <w:sz w:val="24"/>
          <w:szCs w:val="24"/>
        </w:rPr>
        <w:t xml:space="preserve"> APROBADO POR EL CONSEJO DE MINISTROS </w:t>
      </w:r>
    </w:p>
    <w:p w14:paraId="549254CB" w14:textId="77777777" w:rsidR="00337559" w:rsidRDefault="00337559" w:rsidP="00EC60BF">
      <w:pPr>
        <w:tabs>
          <w:tab w:val="left" w:pos="426"/>
        </w:tabs>
        <w:spacing w:line="360" w:lineRule="auto"/>
        <w:rPr>
          <w:rFonts w:ascii="Times New Roman" w:hAnsi="Times New Roman"/>
          <w:sz w:val="24"/>
          <w:szCs w:val="24"/>
        </w:rPr>
      </w:pPr>
    </w:p>
    <w:p w14:paraId="0CCBC278" w14:textId="77777777" w:rsidR="00EC60BF" w:rsidRPr="00EC60BF" w:rsidRDefault="00EC60BF" w:rsidP="00EC60BF">
      <w:pPr>
        <w:tabs>
          <w:tab w:val="left" w:pos="426"/>
        </w:tabs>
        <w:spacing w:line="360" w:lineRule="auto"/>
        <w:rPr>
          <w:rFonts w:ascii="Times New Roman" w:hAnsi="Times New Roman"/>
          <w:sz w:val="24"/>
          <w:szCs w:val="24"/>
        </w:rPr>
      </w:pPr>
      <w:r w:rsidRPr="00EC60BF">
        <w:rPr>
          <w:rFonts w:ascii="Times New Roman" w:hAnsi="Times New Roman"/>
          <w:sz w:val="24"/>
          <w:szCs w:val="24"/>
        </w:rPr>
        <w:t xml:space="preserve">Gracias </w:t>
      </w:r>
      <w:r w:rsidR="00337559">
        <w:rPr>
          <w:rFonts w:ascii="Times New Roman" w:hAnsi="Times New Roman"/>
          <w:sz w:val="24"/>
          <w:szCs w:val="24"/>
        </w:rPr>
        <w:t xml:space="preserve">en buena medida </w:t>
      </w:r>
      <w:r w:rsidRPr="00EC60BF">
        <w:rPr>
          <w:rFonts w:ascii="Times New Roman" w:hAnsi="Times New Roman"/>
          <w:sz w:val="24"/>
          <w:szCs w:val="24"/>
        </w:rPr>
        <w:t xml:space="preserve">a la petición </w:t>
      </w:r>
      <w:r w:rsidR="00337559">
        <w:rPr>
          <w:rFonts w:ascii="Times New Roman" w:hAnsi="Times New Roman"/>
          <w:sz w:val="24"/>
          <w:szCs w:val="24"/>
        </w:rPr>
        <w:t xml:space="preserve">y propuestas </w:t>
      </w:r>
      <w:r w:rsidRPr="00EC60BF">
        <w:rPr>
          <w:rFonts w:ascii="Times New Roman" w:hAnsi="Times New Roman"/>
          <w:sz w:val="24"/>
          <w:szCs w:val="24"/>
        </w:rPr>
        <w:t>que realizó el CERMI</w:t>
      </w:r>
      <w:r w:rsidR="00337559">
        <w:rPr>
          <w:rFonts w:ascii="Times New Roman" w:hAnsi="Times New Roman"/>
          <w:sz w:val="24"/>
          <w:szCs w:val="24"/>
        </w:rPr>
        <w:t xml:space="preserve"> al Ministerio de Trabajo, Migraciones y Seguridad Social,</w:t>
      </w:r>
      <w:r w:rsidRPr="00EC60BF">
        <w:rPr>
          <w:rFonts w:ascii="Times New Roman" w:hAnsi="Times New Roman"/>
          <w:sz w:val="24"/>
          <w:szCs w:val="24"/>
        </w:rPr>
        <w:t xml:space="preserve"> este importante Plan Director para un Trabajo Digno, aprobado por el Consejo de Ministros celebrado el 27 de julio de 2018, contempla un destacado apartado que se ocupa del trabajo de las personas con discapacidad.</w:t>
      </w:r>
    </w:p>
    <w:p w14:paraId="7FF03D72" w14:textId="77777777" w:rsidR="00EC60BF" w:rsidRPr="00337559" w:rsidRDefault="00EC60BF" w:rsidP="00337559">
      <w:pPr>
        <w:tabs>
          <w:tab w:val="left" w:pos="426"/>
        </w:tabs>
        <w:spacing w:line="360" w:lineRule="auto"/>
        <w:rPr>
          <w:rFonts w:ascii="Times New Roman" w:hAnsi="Times New Roman"/>
          <w:sz w:val="24"/>
          <w:szCs w:val="24"/>
        </w:rPr>
      </w:pPr>
      <w:r w:rsidRPr="00EC60BF">
        <w:rPr>
          <w:rFonts w:ascii="Times New Roman" w:hAnsi="Times New Roman"/>
          <w:sz w:val="24"/>
          <w:szCs w:val="24"/>
        </w:rPr>
        <w:t>Lo hace en los siguientes términos:</w:t>
      </w:r>
    </w:p>
    <w:p w14:paraId="3E724609" w14:textId="77777777" w:rsidR="00EC60BF" w:rsidRPr="00EC60BF" w:rsidRDefault="00EC60BF" w:rsidP="00EC60BF">
      <w:pPr>
        <w:tabs>
          <w:tab w:val="left" w:pos="426"/>
        </w:tabs>
        <w:spacing w:line="360" w:lineRule="auto"/>
        <w:ind w:left="284" w:firstLine="426"/>
        <w:rPr>
          <w:rFonts w:ascii="Times New Roman" w:hAnsi="Times New Roman"/>
          <w:i/>
          <w:sz w:val="24"/>
          <w:szCs w:val="24"/>
          <w:u w:val="single"/>
        </w:rPr>
      </w:pPr>
      <w:r w:rsidRPr="00EC60BF">
        <w:rPr>
          <w:rFonts w:ascii="Times New Roman" w:hAnsi="Times New Roman"/>
          <w:i/>
          <w:sz w:val="24"/>
          <w:szCs w:val="24"/>
          <w:u w:val="single"/>
        </w:rPr>
        <w:t>“Personas trabajadoras con discapacidad</w:t>
      </w:r>
    </w:p>
    <w:p w14:paraId="40F5986B" w14:textId="77777777" w:rsidR="00EC60BF" w:rsidRPr="00EC60BF" w:rsidRDefault="00EC60BF" w:rsidP="00EC60BF">
      <w:pPr>
        <w:tabs>
          <w:tab w:val="left" w:pos="426"/>
        </w:tabs>
        <w:spacing w:line="360" w:lineRule="auto"/>
        <w:rPr>
          <w:rFonts w:ascii="Times New Roman" w:hAnsi="Times New Roman"/>
          <w:i/>
          <w:sz w:val="24"/>
          <w:szCs w:val="24"/>
        </w:rPr>
      </w:pPr>
      <w:r w:rsidRPr="00EC60BF">
        <w:rPr>
          <w:rFonts w:ascii="Times New Roman" w:hAnsi="Times New Roman"/>
          <w:i/>
          <w:sz w:val="24"/>
          <w:szCs w:val="24"/>
        </w:rPr>
        <w:t>El objetivo fundamental en relación con estas personas es conseguir la mejora de su empleabilidad y de sus condiciones de trabajo. La contratación de estos trabajadores y trabajadoras puede hacerse directamente por la empresa para la que vaya a prestar servicios, o a través de centros especiales de empleo, que tienen por objeto proporcionar a los trabajadores con discapacidad la realización de un trabajo productivo y remunerado, adecuado a sus características, de cara a favorecer su adaptación personal y social y facilitar su posterior integración laboral en el mercado ordinario de trabajo.</w:t>
      </w:r>
    </w:p>
    <w:p w14:paraId="28E50FD9" w14:textId="77777777" w:rsidR="00EC60BF" w:rsidRPr="00EC60BF" w:rsidRDefault="00EC60BF" w:rsidP="00EC60BF">
      <w:pPr>
        <w:keepNext w:val="0"/>
        <w:tabs>
          <w:tab w:val="left" w:pos="426"/>
        </w:tabs>
        <w:spacing w:before="0" w:after="0" w:line="360" w:lineRule="auto"/>
        <w:rPr>
          <w:rFonts w:ascii="Times New Roman" w:hAnsi="Times New Roman"/>
          <w:i/>
          <w:sz w:val="24"/>
          <w:szCs w:val="24"/>
        </w:rPr>
      </w:pPr>
      <w:r w:rsidRPr="00EC60BF">
        <w:rPr>
          <w:rFonts w:ascii="Times New Roman" w:hAnsi="Times New Roman"/>
          <w:i/>
          <w:sz w:val="24"/>
          <w:szCs w:val="24"/>
        </w:rPr>
        <w:t xml:space="preserve">La vigilancia del cumplimiento de la integración laboral de las personas con discapacidad es un ámbito de actuación preferente y constante dentro de la actuación de la Inspección de Trabajo, de tal modo que viene desarrollándose todos los años una campaña específica para comprobar el cumplimiento de la cuota de reserva en el empleo obligatoria en favor de este colectivo. </w:t>
      </w:r>
    </w:p>
    <w:p w14:paraId="769DBC8A" w14:textId="77777777" w:rsidR="00EC60BF" w:rsidRPr="00EC60BF" w:rsidRDefault="00EC60BF" w:rsidP="00EC60BF">
      <w:pPr>
        <w:keepNext w:val="0"/>
        <w:tabs>
          <w:tab w:val="left" w:pos="426"/>
        </w:tabs>
        <w:spacing w:before="0" w:after="0" w:line="360" w:lineRule="auto"/>
        <w:rPr>
          <w:rFonts w:ascii="Times New Roman" w:hAnsi="Times New Roman"/>
          <w:i/>
          <w:sz w:val="24"/>
          <w:szCs w:val="24"/>
        </w:rPr>
      </w:pPr>
    </w:p>
    <w:p w14:paraId="1C56E9A1" w14:textId="77777777" w:rsidR="00EC60BF" w:rsidRPr="00EC60BF" w:rsidRDefault="00337559" w:rsidP="00EC60BF">
      <w:pPr>
        <w:keepNext w:val="0"/>
        <w:tabs>
          <w:tab w:val="left" w:pos="426"/>
        </w:tabs>
        <w:spacing w:before="0" w:after="0" w:line="360" w:lineRule="auto"/>
        <w:rPr>
          <w:rFonts w:ascii="Times New Roman" w:eastAsia="Calibri" w:hAnsi="Times New Roman"/>
          <w:i/>
          <w:sz w:val="24"/>
          <w:szCs w:val="24"/>
        </w:rPr>
      </w:pPr>
      <w:r>
        <w:rPr>
          <w:rFonts w:ascii="Times New Roman" w:hAnsi="Times New Roman"/>
          <w:i/>
          <w:sz w:val="24"/>
          <w:szCs w:val="24"/>
        </w:rPr>
        <w:lastRenderedPageBreak/>
        <w:t>Asi</w:t>
      </w:r>
      <w:r w:rsidR="00EC60BF" w:rsidRPr="00EC60BF">
        <w:rPr>
          <w:rFonts w:ascii="Times New Roman" w:hAnsi="Times New Roman"/>
          <w:i/>
          <w:sz w:val="24"/>
          <w:szCs w:val="24"/>
        </w:rPr>
        <w:t>mismo resulta imprescindible que las empresas</w:t>
      </w:r>
      <w:r w:rsidR="00EC60BF" w:rsidRPr="00EC60BF">
        <w:rPr>
          <w:rFonts w:ascii="Times New Roman" w:eastAsia="Calibri" w:hAnsi="Times New Roman"/>
          <w:i/>
          <w:sz w:val="24"/>
          <w:szCs w:val="24"/>
        </w:rPr>
        <w:t xml:space="preserve"> cumplan sus obligaciones de adoptar</w:t>
      </w:r>
      <w:r w:rsidR="00EC60BF" w:rsidRPr="00EC60BF">
        <w:rPr>
          <w:rFonts w:ascii="Times New Roman" w:hAnsi="Times New Roman"/>
          <w:i/>
          <w:color w:val="333333"/>
          <w:sz w:val="24"/>
          <w:szCs w:val="24"/>
          <w:shd w:val="clear" w:color="auto" w:fill="FFFFFF"/>
        </w:rPr>
        <w:t xml:space="preserve"> </w:t>
      </w:r>
      <w:r w:rsidR="00EC60BF" w:rsidRPr="00EC60BF">
        <w:rPr>
          <w:rFonts w:ascii="Times New Roman" w:eastAsia="Calibri" w:hAnsi="Times New Roman"/>
          <w:i/>
          <w:sz w:val="24"/>
          <w:szCs w:val="24"/>
        </w:rPr>
        <w:t>las medidas adecuadas para la adaptación del puesto de trabajo y la accesibilidad del entorno laboral, en función de las necesidades de cada situación concreta.</w:t>
      </w:r>
    </w:p>
    <w:p w14:paraId="4D4D83C1" w14:textId="77777777" w:rsidR="00EC60BF" w:rsidRPr="00EC60BF" w:rsidRDefault="00EC60BF" w:rsidP="00EC60BF">
      <w:pPr>
        <w:keepNext w:val="0"/>
        <w:tabs>
          <w:tab w:val="left" w:pos="426"/>
        </w:tabs>
        <w:spacing w:before="0" w:after="0" w:line="360" w:lineRule="auto"/>
        <w:rPr>
          <w:rFonts w:ascii="Times New Roman" w:hAnsi="Times New Roman"/>
          <w:i/>
          <w:sz w:val="24"/>
          <w:szCs w:val="24"/>
        </w:rPr>
      </w:pPr>
    </w:p>
    <w:p w14:paraId="31C45AC8" w14:textId="77777777" w:rsidR="00EC60BF" w:rsidRPr="00EC60BF" w:rsidRDefault="00EC60BF" w:rsidP="00EC60BF">
      <w:pPr>
        <w:keepNext w:val="0"/>
        <w:tabs>
          <w:tab w:val="left" w:pos="426"/>
        </w:tabs>
        <w:spacing w:before="0" w:after="0" w:line="360" w:lineRule="auto"/>
        <w:rPr>
          <w:rFonts w:ascii="Times New Roman" w:hAnsi="Times New Roman"/>
          <w:i/>
          <w:sz w:val="24"/>
          <w:szCs w:val="24"/>
        </w:rPr>
      </w:pPr>
      <w:r w:rsidRPr="00EC60BF">
        <w:rPr>
          <w:rFonts w:ascii="Times New Roman" w:hAnsi="Times New Roman"/>
          <w:i/>
          <w:sz w:val="24"/>
          <w:szCs w:val="24"/>
        </w:rPr>
        <w:t xml:space="preserve">Tal es así que en los últimos años se ha incorporado como objetivo prioritario en los Planes Territoriales de Inspección pactados con las Comunidades Autónomas. </w:t>
      </w:r>
    </w:p>
    <w:p w14:paraId="54DB7210" w14:textId="77777777" w:rsidR="00EC60BF" w:rsidRPr="00EC60BF" w:rsidRDefault="00EC60BF" w:rsidP="00337559">
      <w:pPr>
        <w:tabs>
          <w:tab w:val="left" w:pos="426"/>
        </w:tabs>
        <w:spacing w:line="360" w:lineRule="auto"/>
        <w:rPr>
          <w:rFonts w:ascii="Times New Roman" w:hAnsi="Times New Roman"/>
          <w:i/>
          <w:sz w:val="24"/>
          <w:szCs w:val="24"/>
        </w:rPr>
      </w:pPr>
      <w:r w:rsidRPr="00EC60BF">
        <w:rPr>
          <w:rFonts w:ascii="Times New Roman" w:hAnsi="Times New Roman"/>
          <w:i/>
          <w:sz w:val="24"/>
          <w:szCs w:val="24"/>
        </w:rPr>
        <w:t xml:space="preserve">Para intensificar la actuación en este ámbito, el Plan Director fija las siguientes </w:t>
      </w:r>
    </w:p>
    <w:p w14:paraId="01B3ADA0" w14:textId="77777777" w:rsidR="00EC60BF" w:rsidRPr="00EC60BF" w:rsidRDefault="00EC60BF" w:rsidP="00EC60BF">
      <w:pPr>
        <w:tabs>
          <w:tab w:val="left" w:pos="426"/>
        </w:tabs>
        <w:spacing w:line="360" w:lineRule="auto"/>
        <w:ind w:left="284" w:firstLine="426"/>
        <w:rPr>
          <w:rFonts w:ascii="Times New Roman" w:hAnsi="Times New Roman"/>
          <w:b/>
          <w:i/>
          <w:sz w:val="24"/>
          <w:szCs w:val="24"/>
          <w:u w:val="single"/>
        </w:rPr>
      </w:pPr>
      <w:r w:rsidRPr="00EC60BF">
        <w:rPr>
          <w:rFonts w:ascii="Times New Roman" w:hAnsi="Times New Roman"/>
          <w:b/>
          <w:i/>
          <w:sz w:val="24"/>
          <w:szCs w:val="24"/>
          <w:u w:val="single"/>
        </w:rPr>
        <w:t>Medidas:</w:t>
      </w:r>
    </w:p>
    <w:p w14:paraId="6518967C" w14:textId="77777777" w:rsidR="00EC60BF" w:rsidRPr="00EC60BF" w:rsidRDefault="00EC60BF" w:rsidP="00EC60BF">
      <w:pPr>
        <w:tabs>
          <w:tab w:val="left" w:pos="426"/>
        </w:tabs>
        <w:spacing w:line="360" w:lineRule="auto"/>
        <w:ind w:left="284" w:firstLine="426"/>
        <w:rPr>
          <w:rFonts w:ascii="Times New Roman" w:hAnsi="Times New Roman"/>
          <w:b/>
          <w:i/>
          <w:sz w:val="24"/>
          <w:szCs w:val="24"/>
          <w:u w:val="single"/>
        </w:rPr>
      </w:pPr>
    </w:p>
    <w:p w14:paraId="7B51F833" w14:textId="77777777" w:rsidR="00EC60BF" w:rsidRPr="00EC60BF" w:rsidRDefault="00EC60BF" w:rsidP="00EC60BF">
      <w:pPr>
        <w:tabs>
          <w:tab w:val="left" w:pos="426"/>
        </w:tabs>
        <w:spacing w:line="360" w:lineRule="auto"/>
        <w:ind w:left="284" w:firstLine="426"/>
        <w:rPr>
          <w:rFonts w:ascii="Times New Roman" w:hAnsi="Times New Roman"/>
          <w:i/>
          <w:sz w:val="24"/>
          <w:szCs w:val="24"/>
        </w:rPr>
      </w:pPr>
      <w:r w:rsidRPr="00EC60BF">
        <w:rPr>
          <w:rFonts w:ascii="Times New Roman" w:hAnsi="Times New Roman"/>
          <w:b/>
          <w:i/>
          <w:sz w:val="24"/>
          <w:szCs w:val="24"/>
        </w:rPr>
        <w:t>Medida 31:</w:t>
      </w:r>
      <w:r w:rsidRPr="00EC60BF">
        <w:rPr>
          <w:rFonts w:ascii="Times New Roman" w:hAnsi="Times New Roman"/>
          <w:i/>
          <w:sz w:val="24"/>
          <w:szCs w:val="24"/>
        </w:rPr>
        <w:t xml:space="preserve"> Mantener la campaña anual de la Inspección d</w:t>
      </w:r>
      <w:r w:rsidR="00337559">
        <w:rPr>
          <w:rFonts w:ascii="Times New Roman" w:hAnsi="Times New Roman"/>
          <w:i/>
          <w:sz w:val="24"/>
          <w:szCs w:val="24"/>
        </w:rPr>
        <w:t xml:space="preserve">e Trabajo, dirigida a velar por </w:t>
      </w:r>
      <w:r w:rsidRPr="00EC60BF">
        <w:rPr>
          <w:rFonts w:ascii="Times New Roman" w:hAnsi="Times New Roman"/>
          <w:i/>
          <w:sz w:val="24"/>
          <w:szCs w:val="24"/>
        </w:rPr>
        <w:t xml:space="preserve">que se cumpla la obligación legal de que las empresas de 50 o más trabajadores respeten la reserva del 2% de sus puestos de trabajo a personas con discapacidad y que solo adopten las medidas alternativas cuando excepcionalmente sean eximidas de la obligación de realizar contrataciones directas de personas con discapacidad. </w:t>
      </w:r>
    </w:p>
    <w:p w14:paraId="12ABB59D" w14:textId="77777777" w:rsidR="00337559" w:rsidRDefault="00337559" w:rsidP="00EC60BF">
      <w:pPr>
        <w:keepNext w:val="0"/>
        <w:tabs>
          <w:tab w:val="left" w:pos="426"/>
        </w:tabs>
        <w:spacing w:before="0" w:after="0" w:line="360" w:lineRule="auto"/>
        <w:ind w:left="284" w:firstLine="425"/>
        <w:rPr>
          <w:rFonts w:ascii="Times New Roman" w:hAnsi="Times New Roman"/>
          <w:b/>
          <w:i/>
          <w:sz w:val="24"/>
          <w:szCs w:val="24"/>
        </w:rPr>
      </w:pPr>
    </w:p>
    <w:p w14:paraId="60630FE4" w14:textId="77777777" w:rsidR="00EC60BF" w:rsidRPr="00EC60BF" w:rsidRDefault="00EC60BF" w:rsidP="00EC60BF">
      <w:pPr>
        <w:keepNext w:val="0"/>
        <w:tabs>
          <w:tab w:val="left" w:pos="426"/>
        </w:tabs>
        <w:spacing w:before="0" w:after="0" w:line="360" w:lineRule="auto"/>
        <w:ind w:left="284" w:firstLine="425"/>
        <w:rPr>
          <w:rFonts w:ascii="Times New Roman" w:hAnsi="Times New Roman"/>
          <w:i/>
          <w:sz w:val="24"/>
          <w:szCs w:val="24"/>
        </w:rPr>
      </w:pPr>
      <w:r w:rsidRPr="00EC60BF">
        <w:rPr>
          <w:rFonts w:ascii="Times New Roman" w:hAnsi="Times New Roman"/>
          <w:b/>
          <w:i/>
          <w:sz w:val="24"/>
          <w:szCs w:val="24"/>
        </w:rPr>
        <w:t>Medida 32:</w:t>
      </w:r>
      <w:r w:rsidRPr="00EC60BF">
        <w:rPr>
          <w:rFonts w:ascii="Times New Roman" w:hAnsi="Times New Roman"/>
          <w:i/>
          <w:sz w:val="24"/>
          <w:szCs w:val="24"/>
        </w:rPr>
        <w:t xml:space="preserve"> Combatir las discriminaciones directas e indirectas que afecten a las personas con discapacidad en las relaciones laborales y controlar especialmente los posibles supuestos de utilización fraudulenta de los centros especiales de empleo.  </w:t>
      </w:r>
    </w:p>
    <w:p w14:paraId="53657F16" w14:textId="77777777" w:rsidR="00337559" w:rsidRDefault="00337559" w:rsidP="00EC60BF">
      <w:pPr>
        <w:keepNext w:val="0"/>
        <w:tabs>
          <w:tab w:val="left" w:pos="426"/>
        </w:tabs>
        <w:spacing w:before="0" w:after="0" w:line="360" w:lineRule="auto"/>
        <w:ind w:left="284" w:firstLine="425"/>
        <w:rPr>
          <w:rFonts w:ascii="Times New Roman" w:hAnsi="Times New Roman"/>
          <w:b/>
          <w:i/>
          <w:sz w:val="24"/>
          <w:szCs w:val="24"/>
        </w:rPr>
      </w:pPr>
    </w:p>
    <w:p w14:paraId="77C93FFD" w14:textId="77777777" w:rsidR="00EC60BF" w:rsidRPr="00EC60BF" w:rsidRDefault="00EC60BF" w:rsidP="00EC60BF">
      <w:pPr>
        <w:keepNext w:val="0"/>
        <w:tabs>
          <w:tab w:val="left" w:pos="426"/>
        </w:tabs>
        <w:spacing w:before="0" w:after="0" w:line="360" w:lineRule="auto"/>
        <w:ind w:left="284" w:firstLine="425"/>
        <w:rPr>
          <w:rFonts w:ascii="Times New Roman" w:hAnsi="Times New Roman"/>
          <w:i/>
          <w:sz w:val="24"/>
          <w:szCs w:val="24"/>
        </w:rPr>
      </w:pPr>
      <w:r w:rsidRPr="00EC60BF">
        <w:rPr>
          <w:rFonts w:ascii="Times New Roman" w:hAnsi="Times New Roman"/>
          <w:b/>
          <w:i/>
          <w:sz w:val="24"/>
          <w:szCs w:val="24"/>
        </w:rPr>
        <w:t>Medida 33:</w:t>
      </w:r>
      <w:r w:rsidRPr="00EC60BF">
        <w:rPr>
          <w:rFonts w:ascii="Times New Roman" w:hAnsi="Times New Roman"/>
          <w:i/>
          <w:sz w:val="24"/>
          <w:szCs w:val="24"/>
        </w:rPr>
        <w:t xml:space="preserve"> Realizar acciones de sensibilización que busquen la concienciación en el ámbito de empresas y trabajadores sobre las ventajas de contratar/trabajar con las personas con discapacidad. Para ello la Inspección de Trabajo y Seguridad Social aplicará enfoque de género y discapacidad en todas sus actuaciones dada la mayor vulnerabilidad de los trabajadores con discapacidad, que deben gozar de un grado de protección y de vigilancia del cumplimiento de sus derechos más reforzado.</w:t>
      </w:r>
      <w:r w:rsidR="00011B08">
        <w:rPr>
          <w:rFonts w:ascii="Times New Roman" w:hAnsi="Times New Roman"/>
          <w:i/>
          <w:sz w:val="24"/>
          <w:szCs w:val="24"/>
        </w:rPr>
        <w:t>”</w:t>
      </w:r>
    </w:p>
    <w:p w14:paraId="7EA8B44F" w14:textId="77777777" w:rsidR="00A226E8" w:rsidRPr="00EC60BF" w:rsidRDefault="00A226E8">
      <w:pPr>
        <w:rPr>
          <w:rFonts w:ascii="Times New Roman" w:hAnsi="Times New Roman"/>
          <w:i/>
        </w:rPr>
      </w:pPr>
    </w:p>
    <w:p w14:paraId="291A2E04" w14:textId="77777777" w:rsidR="00EC60BF" w:rsidRPr="00EC60BF" w:rsidRDefault="00EC60BF">
      <w:pPr>
        <w:rPr>
          <w:rFonts w:ascii="Times New Roman" w:hAnsi="Times New Roman"/>
          <w:i/>
        </w:rPr>
      </w:pPr>
    </w:p>
    <w:p w14:paraId="6C6417E8" w14:textId="77777777" w:rsidR="00EC60BF" w:rsidRDefault="00EC60BF" w:rsidP="000C1B0C">
      <w:pPr>
        <w:jc w:val="right"/>
        <w:rPr>
          <w:rFonts w:ascii="Times New Roman" w:hAnsi="Times New Roman"/>
        </w:rPr>
      </w:pPr>
      <w:r w:rsidRPr="00EC60BF">
        <w:rPr>
          <w:rFonts w:ascii="Times New Roman" w:hAnsi="Times New Roman"/>
        </w:rPr>
        <w:tab/>
      </w:r>
      <w:r w:rsidRPr="00EC60BF">
        <w:rPr>
          <w:rFonts w:ascii="Times New Roman" w:hAnsi="Times New Roman"/>
        </w:rPr>
        <w:tab/>
      </w:r>
      <w:r w:rsidRPr="00EC60BF">
        <w:rPr>
          <w:rFonts w:ascii="Times New Roman" w:hAnsi="Times New Roman"/>
        </w:rPr>
        <w:tab/>
      </w:r>
      <w:r w:rsidRPr="00EC60BF">
        <w:rPr>
          <w:rFonts w:ascii="Times New Roman" w:hAnsi="Times New Roman"/>
        </w:rPr>
        <w:tab/>
      </w:r>
      <w:r w:rsidRPr="00EC60BF">
        <w:rPr>
          <w:rFonts w:ascii="Times New Roman" w:hAnsi="Times New Roman"/>
        </w:rPr>
        <w:tab/>
      </w:r>
      <w:r w:rsidR="00011B08">
        <w:rPr>
          <w:rFonts w:ascii="Times New Roman" w:hAnsi="Times New Roman"/>
        </w:rPr>
        <w:t>30</w:t>
      </w:r>
      <w:r>
        <w:rPr>
          <w:rFonts w:ascii="Times New Roman" w:hAnsi="Times New Roman"/>
        </w:rPr>
        <w:t xml:space="preserve"> de julio de 2018</w:t>
      </w:r>
    </w:p>
    <w:p w14:paraId="56F611EC" w14:textId="77777777" w:rsidR="00337559" w:rsidRDefault="00337559" w:rsidP="000C1B0C">
      <w:pPr>
        <w:jc w:val="right"/>
        <w:rPr>
          <w:rFonts w:ascii="Times New Roman" w:hAnsi="Times New Roman"/>
        </w:rPr>
      </w:pPr>
    </w:p>
    <w:p w14:paraId="391A6147" w14:textId="77777777" w:rsidR="000C1B0C" w:rsidRDefault="000C1B0C" w:rsidP="000C1B0C">
      <w:pPr>
        <w:jc w:val="right"/>
        <w:rPr>
          <w:rFonts w:ascii="Times New Roman" w:hAnsi="Times New Roman"/>
        </w:rPr>
      </w:pPr>
      <w:r>
        <w:rPr>
          <w:rFonts w:ascii="Times New Roman" w:hAnsi="Times New Roman"/>
        </w:rPr>
        <w:t xml:space="preserve">Dr. </w:t>
      </w:r>
      <w:r w:rsidR="00997064">
        <w:rPr>
          <w:rFonts w:ascii="Times New Roman" w:hAnsi="Times New Roman"/>
        </w:rPr>
        <w:t xml:space="preserve">D. </w:t>
      </w:r>
      <w:r>
        <w:rPr>
          <w:rFonts w:ascii="Times New Roman" w:hAnsi="Times New Roman"/>
        </w:rPr>
        <w:t>Miguel Ángel Cabra de Luna</w:t>
      </w:r>
    </w:p>
    <w:p w14:paraId="4412B2C4" w14:textId="77777777" w:rsidR="000C1B0C" w:rsidRPr="00EC60BF" w:rsidRDefault="000C1B0C" w:rsidP="000C1B0C">
      <w:pPr>
        <w:jc w:val="right"/>
        <w:rPr>
          <w:rFonts w:ascii="Times New Roman" w:hAnsi="Times New Roman"/>
        </w:rPr>
      </w:pPr>
      <w:r>
        <w:rPr>
          <w:rFonts w:ascii="Times New Roman" w:hAnsi="Times New Roman"/>
        </w:rPr>
        <w:t>Director de los Servicios Jurídicos del CERMI</w:t>
      </w:r>
    </w:p>
    <w:sectPr w:rsidR="000C1B0C" w:rsidRPr="00EC60BF">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A38DC5" w14:textId="77777777" w:rsidR="008C1BE4" w:rsidRDefault="008C1BE4" w:rsidP="008C1BE4">
      <w:pPr>
        <w:spacing w:before="0" w:after="0"/>
      </w:pPr>
      <w:r>
        <w:separator/>
      </w:r>
    </w:p>
  </w:endnote>
  <w:endnote w:type="continuationSeparator" w:id="0">
    <w:p w14:paraId="6562C7DB" w14:textId="77777777" w:rsidR="008C1BE4" w:rsidRDefault="008C1BE4" w:rsidP="008C1BE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928B79" w14:textId="77777777" w:rsidR="008C1BE4" w:rsidRDefault="008C1BE4" w:rsidP="008C1BE4">
      <w:pPr>
        <w:spacing w:before="0" w:after="0"/>
      </w:pPr>
      <w:r>
        <w:separator/>
      </w:r>
    </w:p>
  </w:footnote>
  <w:footnote w:type="continuationSeparator" w:id="0">
    <w:p w14:paraId="6DEC43CD" w14:textId="77777777" w:rsidR="008C1BE4" w:rsidRDefault="008C1BE4" w:rsidP="008C1BE4">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0BF"/>
    <w:rsid w:val="00011B08"/>
    <w:rsid w:val="00093F94"/>
    <w:rsid w:val="000C1B0C"/>
    <w:rsid w:val="00337559"/>
    <w:rsid w:val="008C1BE4"/>
    <w:rsid w:val="00997064"/>
    <w:rsid w:val="00A226E8"/>
    <w:rsid w:val="00EC60BF"/>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3E87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0BF"/>
    <w:pPr>
      <w:keepNext/>
      <w:spacing w:before="120" w:after="120" w:line="240" w:lineRule="auto"/>
      <w:jc w:val="both"/>
    </w:pPr>
    <w:rPr>
      <w:rFonts w:ascii="Tahoma" w:eastAsia="Times New Roman" w:hAnsi="Tahoma" w:cs="Times New Roman"/>
      <w:sz w:val="26"/>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C1BE4"/>
    <w:pPr>
      <w:tabs>
        <w:tab w:val="center" w:pos="4252"/>
        <w:tab w:val="right" w:pos="8504"/>
      </w:tabs>
      <w:spacing w:before="0" w:after="0"/>
    </w:pPr>
  </w:style>
  <w:style w:type="character" w:customStyle="1" w:styleId="EncabezadoCar">
    <w:name w:val="Encabezado Car"/>
    <w:basedOn w:val="Fuentedeprrafopredeter"/>
    <w:link w:val="Encabezado"/>
    <w:uiPriority w:val="99"/>
    <w:rsid w:val="008C1BE4"/>
    <w:rPr>
      <w:rFonts w:ascii="Tahoma" w:eastAsia="Times New Roman" w:hAnsi="Tahoma" w:cs="Times New Roman"/>
      <w:sz w:val="26"/>
      <w:szCs w:val="20"/>
      <w:lang w:eastAsia="es-ES"/>
    </w:rPr>
  </w:style>
  <w:style w:type="paragraph" w:styleId="Piedepgina">
    <w:name w:val="footer"/>
    <w:basedOn w:val="Normal"/>
    <w:link w:val="PiedepginaCar"/>
    <w:uiPriority w:val="99"/>
    <w:unhideWhenUsed/>
    <w:rsid w:val="008C1BE4"/>
    <w:pPr>
      <w:tabs>
        <w:tab w:val="center" w:pos="4252"/>
        <w:tab w:val="right" w:pos="8504"/>
      </w:tabs>
      <w:spacing w:before="0" w:after="0"/>
    </w:pPr>
  </w:style>
  <w:style w:type="character" w:customStyle="1" w:styleId="PiedepginaCar">
    <w:name w:val="Pie de página Car"/>
    <w:basedOn w:val="Fuentedeprrafopredeter"/>
    <w:link w:val="Piedepgina"/>
    <w:uiPriority w:val="99"/>
    <w:rsid w:val="008C1BE4"/>
    <w:rPr>
      <w:rFonts w:ascii="Tahoma" w:eastAsia="Times New Roman" w:hAnsi="Tahoma" w:cs="Times New Roman"/>
      <w:sz w:val="26"/>
      <w:szCs w:val="20"/>
      <w:lang w:eastAsia="es-ES"/>
    </w:rPr>
  </w:style>
  <w:style w:type="paragraph" w:styleId="Textodeglobo">
    <w:name w:val="Balloon Text"/>
    <w:basedOn w:val="Normal"/>
    <w:link w:val="TextodegloboCar"/>
    <w:uiPriority w:val="99"/>
    <w:semiHidden/>
    <w:unhideWhenUsed/>
    <w:rsid w:val="00337559"/>
    <w:pPr>
      <w:spacing w:before="0" w:after="0"/>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337559"/>
    <w:rPr>
      <w:rFonts w:ascii="Lucida Grande" w:eastAsia="Times New Roman" w:hAnsi="Lucida Grande" w:cs="Lucida Grande"/>
      <w:sz w:val="18"/>
      <w:szCs w:val="18"/>
      <w:lang w:eastAsia="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0BF"/>
    <w:pPr>
      <w:keepNext/>
      <w:spacing w:before="120" w:after="120" w:line="240" w:lineRule="auto"/>
      <w:jc w:val="both"/>
    </w:pPr>
    <w:rPr>
      <w:rFonts w:ascii="Tahoma" w:eastAsia="Times New Roman" w:hAnsi="Tahoma" w:cs="Times New Roman"/>
      <w:sz w:val="26"/>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C1BE4"/>
    <w:pPr>
      <w:tabs>
        <w:tab w:val="center" w:pos="4252"/>
        <w:tab w:val="right" w:pos="8504"/>
      </w:tabs>
      <w:spacing w:before="0" w:after="0"/>
    </w:pPr>
  </w:style>
  <w:style w:type="character" w:customStyle="1" w:styleId="EncabezadoCar">
    <w:name w:val="Encabezado Car"/>
    <w:basedOn w:val="Fuentedeprrafopredeter"/>
    <w:link w:val="Encabezado"/>
    <w:uiPriority w:val="99"/>
    <w:rsid w:val="008C1BE4"/>
    <w:rPr>
      <w:rFonts w:ascii="Tahoma" w:eastAsia="Times New Roman" w:hAnsi="Tahoma" w:cs="Times New Roman"/>
      <w:sz w:val="26"/>
      <w:szCs w:val="20"/>
      <w:lang w:eastAsia="es-ES"/>
    </w:rPr>
  </w:style>
  <w:style w:type="paragraph" w:styleId="Piedepgina">
    <w:name w:val="footer"/>
    <w:basedOn w:val="Normal"/>
    <w:link w:val="PiedepginaCar"/>
    <w:uiPriority w:val="99"/>
    <w:unhideWhenUsed/>
    <w:rsid w:val="008C1BE4"/>
    <w:pPr>
      <w:tabs>
        <w:tab w:val="center" w:pos="4252"/>
        <w:tab w:val="right" w:pos="8504"/>
      </w:tabs>
      <w:spacing w:before="0" w:after="0"/>
    </w:pPr>
  </w:style>
  <w:style w:type="character" w:customStyle="1" w:styleId="PiedepginaCar">
    <w:name w:val="Pie de página Car"/>
    <w:basedOn w:val="Fuentedeprrafopredeter"/>
    <w:link w:val="Piedepgina"/>
    <w:uiPriority w:val="99"/>
    <w:rsid w:val="008C1BE4"/>
    <w:rPr>
      <w:rFonts w:ascii="Tahoma" w:eastAsia="Times New Roman" w:hAnsi="Tahoma" w:cs="Times New Roman"/>
      <w:sz w:val="26"/>
      <w:szCs w:val="20"/>
      <w:lang w:eastAsia="es-ES"/>
    </w:rPr>
  </w:style>
  <w:style w:type="paragraph" w:styleId="Textodeglobo">
    <w:name w:val="Balloon Text"/>
    <w:basedOn w:val="Normal"/>
    <w:link w:val="TextodegloboCar"/>
    <w:uiPriority w:val="99"/>
    <w:semiHidden/>
    <w:unhideWhenUsed/>
    <w:rsid w:val="00337559"/>
    <w:pPr>
      <w:spacing w:before="0" w:after="0"/>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337559"/>
    <w:rPr>
      <w:rFonts w:ascii="Lucida Grande" w:eastAsia="Times New Roman" w:hAnsi="Lucida Grande" w:cs="Lucida Grande"/>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4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506</Words>
  <Characters>2783</Characters>
  <Application>Microsoft Macintosh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2018-07-30T07:23:00Z</dcterms:created>
  <dcterms:modified xsi:type="dcterms:W3CDTF">2018-07-30T07:23:00Z</dcterms:modified>
</cp:coreProperties>
</file>