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F5014" w14:textId="77777777" w:rsidR="003F1F54" w:rsidRPr="003F1F54" w:rsidRDefault="003F1F54" w:rsidP="003F1F54">
      <w:pPr>
        <w:jc w:val="center"/>
        <w:rPr>
          <w:rFonts w:ascii="Times New Roman" w:eastAsia="Times New Roman" w:hAnsi="Times New Roman" w:cs="Times New Roman"/>
          <w:b/>
          <w:sz w:val="32"/>
          <w:szCs w:val="32"/>
          <w:u w:val="single"/>
        </w:rPr>
      </w:pPr>
      <w:r w:rsidRPr="003F1F54">
        <w:rPr>
          <w:rFonts w:ascii="Helvetica" w:hAnsi="Helvetica" w:cs="Helvetica"/>
          <w:noProof/>
          <w:sz w:val="32"/>
          <w:szCs w:val="32"/>
          <w:lang w:eastAsia="es-ES"/>
        </w:rPr>
        <w:drawing>
          <wp:inline distT="0" distB="0" distL="0" distR="0" wp14:anchorId="25885CA0" wp14:editId="7B563339">
            <wp:extent cx="1613535" cy="1073221"/>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3535" cy="1073221"/>
                    </a:xfrm>
                    <a:prstGeom prst="rect">
                      <a:avLst/>
                    </a:prstGeom>
                    <a:noFill/>
                    <a:ln>
                      <a:noFill/>
                    </a:ln>
                  </pic:spPr>
                </pic:pic>
              </a:graphicData>
            </a:graphic>
          </wp:inline>
        </w:drawing>
      </w:r>
    </w:p>
    <w:p w14:paraId="12EFDB2C" w14:textId="77777777" w:rsidR="003F1F54" w:rsidRPr="003F1F54" w:rsidRDefault="003F1F54" w:rsidP="003F1F54">
      <w:pPr>
        <w:jc w:val="center"/>
        <w:rPr>
          <w:rFonts w:ascii="Times New Roman" w:eastAsia="Times New Roman" w:hAnsi="Times New Roman" w:cs="Times New Roman"/>
          <w:b/>
          <w:sz w:val="32"/>
          <w:szCs w:val="32"/>
          <w:u w:val="single"/>
        </w:rPr>
      </w:pPr>
    </w:p>
    <w:p w14:paraId="26479269" w14:textId="3E07426B" w:rsidR="008E763E" w:rsidRPr="003F1F54" w:rsidRDefault="00F2029F" w:rsidP="00262EF2">
      <w:pPr>
        <w:jc w:val="both"/>
        <w:rPr>
          <w:rFonts w:ascii="Arial" w:eastAsia="Times New Roman" w:hAnsi="Arial" w:cs="Arial"/>
          <w:b/>
          <w:sz w:val="32"/>
          <w:szCs w:val="32"/>
        </w:rPr>
      </w:pPr>
      <w:r w:rsidRPr="00F2029F">
        <w:rPr>
          <w:rFonts w:ascii="Arial" w:eastAsia="Times New Roman" w:hAnsi="Arial" w:cs="Arial"/>
          <w:b/>
          <w:sz w:val="32"/>
          <w:szCs w:val="32"/>
        </w:rPr>
        <w:t>INFORME</w:t>
      </w:r>
      <w:bookmarkStart w:id="0" w:name="_GoBack"/>
      <w:bookmarkEnd w:id="0"/>
      <w:r w:rsidRPr="00F2029F">
        <w:rPr>
          <w:rFonts w:ascii="Arial" w:eastAsia="Times New Roman" w:hAnsi="Arial" w:cs="Arial"/>
          <w:b/>
          <w:sz w:val="32"/>
          <w:szCs w:val="32"/>
        </w:rPr>
        <w:t xml:space="preserve">: </w:t>
      </w:r>
      <w:r w:rsidR="008E763E" w:rsidRPr="003F1F54">
        <w:rPr>
          <w:rFonts w:ascii="Arial" w:eastAsia="Times New Roman" w:hAnsi="Arial" w:cs="Arial"/>
          <w:b/>
          <w:sz w:val="32"/>
          <w:szCs w:val="32"/>
        </w:rPr>
        <w:t xml:space="preserve">LA SEGURIDAD SOCIAL CONFIRMA AL CERMI LA INEMBARGABILIDAD DEL COMPLEMENTO DE LA PENSIÓN DE </w:t>
      </w:r>
      <w:r w:rsidR="003F1F54">
        <w:rPr>
          <w:rFonts w:ascii="Arial" w:eastAsia="Times New Roman" w:hAnsi="Arial" w:cs="Arial"/>
          <w:b/>
          <w:sz w:val="32"/>
          <w:szCs w:val="32"/>
        </w:rPr>
        <w:t>“</w:t>
      </w:r>
      <w:r w:rsidR="008E763E" w:rsidRPr="003F1F54">
        <w:rPr>
          <w:rFonts w:ascii="Arial" w:eastAsia="Times New Roman" w:hAnsi="Arial" w:cs="Arial"/>
          <w:b/>
          <w:sz w:val="32"/>
          <w:szCs w:val="32"/>
        </w:rPr>
        <w:t>GRAN INVALIDEZ</w:t>
      </w:r>
      <w:r w:rsidR="003F1F54">
        <w:rPr>
          <w:rFonts w:ascii="Arial" w:eastAsia="Times New Roman" w:hAnsi="Arial" w:cs="Arial"/>
          <w:b/>
          <w:sz w:val="32"/>
          <w:szCs w:val="32"/>
        </w:rPr>
        <w:t>”</w:t>
      </w:r>
    </w:p>
    <w:p w14:paraId="22C89B6A" w14:textId="77777777" w:rsidR="008E763E" w:rsidRPr="003F1F54" w:rsidRDefault="003F1F54" w:rsidP="00262EF2">
      <w:pPr>
        <w:jc w:val="both"/>
        <w:rPr>
          <w:rFonts w:ascii="Arial" w:hAnsi="Arial" w:cs="Arial"/>
          <w:sz w:val="32"/>
          <w:szCs w:val="32"/>
        </w:rPr>
      </w:pPr>
      <w:r w:rsidRPr="003F1F54">
        <w:rPr>
          <w:rFonts w:ascii="Arial" w:hAnsi="Arial" w:cs="Arial"/>
          <w:sz w:val="32"/>
          <w:szCs w:val="32"/>
        </w:rPr>
        <w:t>El CERMI Estatal ha recibido confirmación reciente de la Secretaría de Estado de la Seguridad Social del Ministerio de Trabajo, Migraciones y Seguridad Social de</w:t>
      </w:r>
      <w:r w:rsidR="00550413" w:rsidRPr="003F1F54">
        <w:rPr>
          <w:rFonts w:ascii="Arial" w:hAnsi="Arial" w:cs="Arial"/>
          <w:sz w:val="32"/>
          <w:szCs w:val="32"/>
        </w:rPr>
        <w:t xml:space="preserve"> que </w:t>
      </w:r>
      <w:r>
        <w:rPr>
          <w:rFonts w:ascii="Arial" w:hAnsi="Arial" w:cs="Arial"/>
          <w:sz w:val="32"/>
          <w:szCs w:val="32"/>
        </w:rPr>
        <w:t xml:space="preserve">esta, la Seguridad Social, </w:t>
      </w:r>
      <w:r w:rsidR="00550413" w:rsidRPr="003F1F54">
        <w:rPr>
          <w:rFonts w:ascii="Arial" w:hAnsi="Arial" w:cs="Arial"/>
          <w:sz w:val="32"/>
          <w:szCs w:val="32"/>
        </w:rPr>
        <w:t xml:space="preserve">no </w:t>
      </w:r>
      <w:r w:rsidRPr="003F1F54">
        <w:rPr>
          <w:rFonts w:ascii="Arial" w:hAnsi="Arial" w:cs="Arial"/>
          <w:sz w:val="32"/>
          <w:szCs w:val="32"/>
        </w:rPr>
        <w:t>practicará ningún embargo</w:t>
      </w:r>
      <w:r w:rsidR="00550413" w:rsidRPr="003F1F54">
        <w:rPr>
          <w:rFonts w:ascii="Arial" w:hAnsi="Arial" w:cs="Arial"/>
          <w:sz w:val="32"/>
          <w:szCs w:val="32"/>
        </w:rPr>
        <w:t xml:space="preserve"> </w:t>
      </w:r>
      <w:r w:rsidRPr="003F1F54">
        <w:rPr>
          <w:rFonts w:ascii="Arial" w:hAnsi="Arial" w:cs="Arial"/>
          <w:sz w:val="32"/>
          <w:szCs w:val="32"/>
        </w:rPr>
        <w:t xml:space="preserve">del complemento </w:t>
      </w:r>
      <w:r w:rsidR="00550413" w:rsidRPr="003F1F54">
        <w:rPr>
          <w:rFonts w:ascii="Arial" w:hAnsi="Arial" w:cs="Arial"/>
          <w:sz w:val="32"/>
          <w:szCs w:val="32"/>
        </w:rPr>
        <w:t xml:space="preserve">de </w:t>
      </w:r>
      <w:r w:rsidRPr="003F1F54">
        <w:rPr>
          <w:rFonts w:ascii="Arial" w:hAnsi="Arial" w:cs="Arial"/>
          <w:sz w:val="32"/>
          <w:szCs w:val="32"/>
        </w:rPr>
        <w:t>l</w:t>
      </w:r>
      <w:r w:rsidR="00550413" w:rsidRPr="003F1F54">
        <w:rPr>
          <w:rFonts w:ascii="Arial" w:hAnsi="Arial" w:cs="Arial"/>
          <w:sz w:val="32"/>
          <w:szCs w:val="32"/>
        </w:rPr>
        <w:t xml:space="preserve">a pensión de </w:t>
      </w:r>
      <w:r w:rsidRPr="003F1F54">
        <w:rPr>
          <w:rFonts w:ascii="Arial" w:hAnsi="Arial" w:cs="Arial"/>
          <w:sz w:val="32"/>
          <w:szCs w:val="32"/>
        </w:rPr>
        <w:t>“</w:t>
      </w:r>
      <w:r w:rsidR="00550413" w:rsidRPr="003F1F54">
        <w:rPr>
          <w:rFonts w:ascii="Arial" w:hAnsi="Arial" w:cs="Arial"/>
          <w:sz w:val="32"/>
          <w:szCs w:val="32"/>
        </w:rPr>
        <w:t>gran invalidez</w:t>
      </w:r>
      <w:r w:rsidRPr="003F1F54">
        <w:rPr>
          <w:rFonts w:ascii="Arial" w:hAnsi="Arial" w:cs="Arial"/>
          <w:sz w:val="32"/>
          <w:szCs w:val="32"/>
        </w:rPr>
        <w:t>” (sic), al considerarlo, como venía planteando y reclamando el CERMI, legalmente inembargable</w:t>
      </w:r>
      <w:r w:rsidR="00550413" w:rsidRPr="003F1F54">
        <w:rPr>
          <w:rFonts w:ascii="Arial" w:hAnsi="Arial" w:cs="Arial"/>
          <w:sz w:val="32"/>
          <w:szCs w:val="32"/>
        </w:rPr>
        <w:t>.</w:t>
      </w:r>
    </w:p>
    <w:p w14:paraId="04FF001D" w14:textId="77777777" w:rsidR="00550413" w:rsidRPr="003F1F54" w:rsidRDefault="00550413" w:rsidP="00262EF2">
      <w:pPr>
        <w:jc w:val="both"/>
        <w:rPr>
          <w:rFonts w:ascii="Arial" w:hAnsi="Arial" w:cs="Arial"/>
          <w:sz w:val="32"/>
          <w:szCs w:val="32"/>
        </w:rPr>
      </w:pPr>
      <w:r w:rsidRPr="003F1F54">
        <w:rPr>
          <w:rFonts w:ascii="Arial" w:hAnsi="Arial" w:cs="Arial"/>
          <w:sz w:val="32"/>
          <w:szCs w:val="32"/>
        </w:rPr>
        <w:t>Este criterio</w:t>
      </w:r>
      <w:r w:rsidR="00262EF2" w:rsidRPr="003F1F54">
        <w:rPr>
          <w:rFonts w:ascii="Arial" w:hAnsi="Arial" w:cs="Arial"/>
          <w:sz w:val="32"/>
          <w:szCs w:val="32"/>
        </w:rPr>
        <w:t>, que se sustenta en una consulta resuelta el 11 de octubre de 2017 por</w:t>
      </w:r>
      <w:r w:rsidRPr="003F1F54">
        <w:rPr>
          <w:rFonts w:ascii="Arial" w:hAnsi="Arial" w:cs="Arial"/>
          <w:sz w:val="32"/>
          <w:szCs w:val="32"/>
        </w:rPr>
        <w:t xml:space="preserve"> la Dirección General de Ordenación de Seguridad Social</w:t>
      </w:r>
      <w:r w:rsidR="00262EF2" w:rsidRPr="003F1F54">
        <w:rPr>
          <w:rFonts w:ascii="Arial" w:hAnsi="Arial" w:cs="Arial"/>
          <w:sz w:val="32"/>
          <w:szCs w:val="32"/>
        </w:rPr>
        <w:t>,</w:t>
      </w:r>
      <w:r w:rsidRPr="003F1F54">
        <w:rPr>
          <w:rFonts w:ascii="Arial" w:hAnsi="Arial" w:cs="Arial"/>
          <w:sz w:val="32"/>
          <w:szCs w:val="32"/>
        </w:rPr>
        <w:t xml:space="preserve"> gu</w:t>
      </w:r>
      <w:r w:rsidR="00262EF2" w:rsidRPr="003F1F54">
        <w:rPr>
          <w:rFonts w:ascii="Arial" w:hAnsi="Arial" w:cs="Arial"/>
          <w:sz w:val="32"/>
          <w:szCs w:val="32"/>
        </w:rPr>
        <w:t>iará a partir de ahora</w:t>
      </w:r>
      <w:r w:rsidRPr="003F1F54">
        <w:rPr>
          <w:rFonts w:ascii="Arial" w:hAnsi="Arial" w:cs="Arial"/>
          <w:sz w:val="32"/>
          <w:szCs w:val="32"/>
        </w:rPr>
        <w:t xml:space="preserve"> la actuación de la Tesorería General de la Seguridad Social y del Instituto Nacional de Seguridad Social</w:t>
      </w:r>
      <w:r w:rsidR="00262EF2" w:rsidRPr="003F1F54">
        <w:rPr>
          <w:rFonts w:ascii="Arial" w:hAnsi="Arial" w:cs="Arial"/>
          <w:sz w:val="32"/>
          <w:szCs w:val="32"/>
        </w:rPr>
        <w:t>, abandonando la discrepancia existente al respecto entre ambas entidades</w:t>
      </w:r>
      <w:r w:rsidR="003F1F54" w:rsidRPr="003F1F54">
        <w:rPr>
          <w:rFonts w:ascii="Arial" w:hAnsi="Arial" w:cs="Arial"/>
          <w:sz w:val="32"/>
          <w:szCs w:val="32"/>
        </w:rPr>
        <w:t>, una favorable a la inembargabilidad y la otra contraria</w:t>
      </w:r>
      <w:r w:rsidR="00262EF2" w:rsidRPr="003F1F54">
        <w:rPr>
          <w:rFonts w:ascii="Arial" w:hAnsi="Arial" w:cs="Arial"/>
          <w:sz w:val="32"/>
          <w:szCs w:val="32"/>
        </w:rPr>
        <w:t>.</w:t>
      </w:r>
    </w:p>
    <w:p w14:paraId="45B3FA67" w14:textId="77777777" w:rsidR="00474482" w:rsidRPr="003F1F54" w:rsidRDefault="00550413" w:rsidP="00262EF2">
      <w:pPr>
        <w:jc w:val="both"/>
        <w:rPr>
          <w:rFonts w:ascii="Arial" w:hAnsi="Arial" w:cs="Arial"/>
          <w:sz w:val="32"/>
          <w:szCs w:val="32"/>
        </w:rPr>
      </w:pPr>
      <w:r w:rsidRPr="003F1F54">
        <w:rPr>
          <w:rFonts w:ascii="Arial" w:hAnsi="Arial" w:cs="Arial"/>
          <w:sz w:val="32"/>
          <w:szCs w:val="32"/>
        </w:rPr>
        <w:t>Dicha decisión se fundamenta en considerar que el co</w:t>
      </w:r>
      <w:r w:rsidR="003F1F54">
        <w:rPr>
          <w:rFonts w:ascii="Arial" w:hAnsi="Arial" w:cs="Arial"/>
          <w:sz w:val="32"/>
          <w:szCs w:val="32"/>
        </w:rPr>
        <w:t xml:space="preserve">mplemento de la pensión de “gran </w:t>
      </w:r>
      <w:r w:rsidRPr="003F1F54">
        <w:rPr>
          <w:rFonts w:ascii="Arial" w:hAnsi="Arial" w:cs="Arial"/>
          <w:sz w:val="32"/>
          <w:szCs w:val="32"/>
        </w:rPr>
        <w:t>invalidez</w:t>
      </w:r>
      <w:r w:rsidR="003F1F54" w:rsidRPr="003F1F54">
        <w:rPr>
          <w:rFonts w:ascii="Arial" w:hAnsi="Arial" w:cs="Arial"/>
          <w:sz w:val="32"/>
          <w:szCs w:val="32"/>
        </w:rPr>
        <w:t>” (sic)</w:t>
      </w:r>
      <w:r w:rsidRPr="003F1F54">
        <w:rPr>
          <w:rFonts w:ascii="Arial" w:hAnsi="Arial" w:cs="Arial"/>
          <w:sz w:val="32"/>
          <w:szCs w:val="32"/>
        </w:rPr>
        <w:t>, de conformidad con el vigente artículo 196.4 de la Le General de Seguridad Social</w:t>
      </w:r>
      <w:r w:rsidR="00474482" w:rsidRPr="003F1F54">
        <w:rPr>
          <w:rFonts w:ascii="Arial" w:hAnsi="Arial" w:cs="Arial"/>
          <w:sz w:val="32"/>
          <w:szCs w:val="32"/>
        </w:rPr>
        <w:t xml:space="preserve">, tiene carácter finalista y la condición de bien imprescindible para </w:t>
      </w:r>
      <w:r w:rsidR="003F1F54" w:rsidRPr="003F1F54">
        <w:rPr>
          <w:rFonts w:ascii="Arial" w:hAnsi="Arial" w:cs="Arial"/>
          <w:sz w:val="32"/>
          <w:szCs w:val="32"/>
        </w:rPr>
        <w:t xml:space="preserve">que </w:t>
      </w:r>
      <w:r w:rsidR="00474482" w:rsidRPr="003F1F54">
        <w:rPr>
          <w:rFonts w:ascii="Arial" w:hAnsi="Arial" w:cs="Arial"/>
          <w:sz w:val="32"/>
          <w:szCs w:val="32"/>
        </w:rPr>
        <w:t>l</w:t>
      </w:r>
      <w:r w:rsidR="003F1F54" w:rsidRPr="003F1F54">
        <w:rPr>
          <w:rFonts w:ascii="Arial" w:hAnsi="Arial" w:cs="Arial"/>
          <w:sz w:val="32"/>
          <w:szCs w:val="32"/>
        </w:rPr>
        <w:t>a</w:t>
      </w:r>
      <w:r w:rsidR="00474482" w:rsidRPr="003F1F54">
        <w:rPr>
          <w:rFonts w:ascii="Arial" w:hAnsi="Arial" w:cs="Arial"/>
          <w:sz w:val="32"/>
          <w:szCs w:val="32"/>
        </w:rPr>
        <w:t xml:space="preserve"> </w:t>
      </w:r>
      <w:r w:rsidR="003F1F54" w:rsidRPr="003F1F54">
        <w:rPr>
          <w:rFonts w:ascii="Arial" w:hAnsi="Arial" w:cs="Arial"/>
          <w:sz w:val="32"/>
          <w:szCs w:val="32"/>
        </w:rPr>
        <w:t>persona beneficiaria</w:t>
      </w:r>
      <w:r w:rsidR="00474482" w:rsidRPr="003F1F54">
        <w:rPr>
          <w:rFonts w:ascii="Arial" w:hAnsi="Arial" w:cs="Arial"/>
          <w:sz w:val="32"/>
          <w:szCs w:val="32"/>
        </w:rPr>
        <w:t xml:space="preserve"> </w:t>
      </w:r>
      <w:r w:rsidR="003F1F54" w:rsidRPr="003F1F54">
        <w:rPr>
          <w:rFonts w:ascii="Arial" w:hAnsi="Arial" w:cs="Arial"/>
          <w:sz w:val="32"/>
          <w:szCs w:val="32"/>
        </w:rPr>
        <w:t xml:space="preserve">pueda proveer </w:t>
      </w:r>
      <w:r w:rsidR="00474482" w:rsidRPr="003F1F54">
        <w:rPr>
          <w:rFonts w:ascii="Arial" w:hAnsi="Arial" w:cs="Arial"/>
          <w:sz w:val="32"/>
          <w:szCs w:val="32"/>
        </w:rPr>
        <w:t xml:space="preserve">con razonable dignidad su subsistencia, puesto que </w:t>
      </w:r>
      <w:r w:rsidR="003F1F54" w:rsidRPr="003F1F54">
        <w:rPr>
          <w:rFonts w:ascii="Arial" w:hAnsi="Arial" w:cs="Arial"/>
          <w:sz w:val="32"/>
          <w:szCs w:val="32"/>
        </w:rPr>
        <w:t>“</w:t>
      </w:r>
      <w:r w:rsidR="00474482" w:rsidRPr="003F1F54">
        <w:rPr>
          <w:rFonts w:ascii="Arial" w:hAnsi="Arial" w:cs="Arial"/>
          <w:sz w:val="32"/>
          <w:szCs w:val="32"/>
        </w:rPr>
        <w:t>el gran inválido</w:t>
      </w:r>
      <w:r w:rsidR="003F1F54" w:rsidRPr="003F1F54">
        <w:rPr>
          <w:rFonts w:ascii="Arial" w:hAnsi="Arial" w:cs="Arial"/>
          <w:sz w:val="32"/>
          <w:szCs w:val="32"/>
        </w:rPr>
        <w:t>” (sic)</w:t>
      </w:r>
      <w:r w:rsidR="00474482" w:rsidRPr="003F1F54">
        <w:rPr>
          <w:rFonts w:ascii="Arial" w:hAnsi="Arial" w:cs="Arial"/>
          <w:sz w:val="32"/>
          <w:szCs w:val="32"/>
        </w:rPr>
        <w:t xml:space="preserve"> precisa de la ayuda de otra persona para realizar las tareas fundamentales de la vida tales como comer, </w:t>
      </w:r>
      <w:r w:rsidR="003F1F54" w:rsidRPr="003F1F54">
        <w:rPr>
          <w:rFonts w:ascii="Arial" w:hAnsi="Arial" w:cs="Arial"/>
          <w:sz w:val="32"/>
          <w:szCs w:val="32"/>
        </w:rPr>
        <w:t xml:space="preserve"> asearse, </w:t>
      </w:r>
      <w:r w:rsidR="00474482" w:rsidRPr="003F1F54">
        <w:rPr>
          <w:rFonts w:ascii="Arial" w:hAnsi="Arial" w:cs="Arial"/>
          <w:sz w:val="32"/>
          <w:szCs w:val="32"/>
        </w:rPr>
        <w:t>vestirse y desplazarse.</w:t>
      </w:r>
    </w:p>
    <w:p w14:paraId="249A1F28" w14:textId="77777777" w:rsidR="00262EF2" w:rsidRPr="003F1F54" w:rsidRDefault="00474482" w:rsidP="00262EF2">
      <w:pPr>
        <w:jc w:val="both"/>
        <w:rPr>
          <w:rFonts w:ascii="Arial" w:hAnsi="Arial" w:cs="Arial"/>
          <w:sz w:val="32"/>
          <w:szCs w:val="32"/>
        </w:rPr>
      </w:pPr>
      <w:r w:rsidRPr="003F1F54">
        <w:rPr>
          <w:rFonts w:ascii="Arial" w:hAnsi="Arial" w:cs="Arial"/>
          <w:sz w:val="32"/>
          <w:szCs w:val="32"/>
        </w:rPr>
        <w:lastRenderedPageBreak/>
        <w:t>Este criterio</w:t>
      </w:r>
      <w:r w:rsidR="003F1F54" w:rsidRPr="003F1F54">
        <w:rPr>
          <w:rFonts w:ascii="Arial" w:hAnsi="Arial" w:cs="Arial"/>
          <w:sz w:val="32"/>
          <w:szCs w:val="32"/>
        </w:rPr>
        <w:t xml:space="preserve"> permanente de la Seguridad Social, que corrige otros anteriores de signo contrario,</w:t>
      </w:r>
      <w:r w:rsidRPr="003F1F54">
        <w:rPr>
          <w:rFonts w:ascii="Arial" w:hAnsi="Arial" w:cs="Arial"/>
          <w:sz w:val="32"/>
          <w:szCs w:val="32"/>
        </w:rPr>
        <w:t xml:space="preserve"> se </w:t>
      </w:r>
      <w:r w:rsidR="00262EF2" w:rsidRPr="003F1F54">
        <w:rPr>
          <w:rFonts w:ascii="Arial" w:hAnsi="Arial" w:cs="Arial"/>
          <w:sz w:val="32"/>
          <w:szCs w:val="32"/>
        </w:rPr>
        <w:t>apoya</w:t>
      </w:r>
      <w:r w:rsidRPr="003F1F54">
        <w:rPr>
          <w:rFonts w:ascii="Arial" w:hAnsi="Arial" w:cs="Arial"/>
          <w:sz w:val="32"/>
          <w:szCs w:val="32"/>
        </w:rPr>
        <w:t xml:space="preserve"> también en decisiones judiciales de la Audiencia Provincial de Madrid (Auto 194/2014) y de la Audiencia Provincial de Valencia (Auto 494/2016), así como en la Sentencia del Tribunal Supremo de 28 de mayo de 2013, en la que confirma la identidad propia de dicho complemento diferenciándolo de la pensión vitalicia de incapacidad.</w:t>
      </w:r>
    </w:p>
    <w:p w14:paraId="47A9FDEC" w14:textId="77777777" w:rsidR="00262EF2" w:rsidRPr="003F1F54" w:rsidRDefault="00262EF2" w:rsidP="003F1F54">
      <w:pPr>
        <w:jc w:val="right"/>
        <w:rPr>
          <w:rFonts w:ascii="Arial" w:hAnsi="Arial" w:cs="Arial"/>
          <w:sz w:val="32"/>
          <w:szCs w:val="32"/>
        </w:rPr>
      </w:pPr>
      <w:r w:rsidRPr="003F1F54">
        <w:rPr>
          <w:rFonts w:ascii="Arial" w:hAnsi="Arial" w:cs="Arial"/>
          <w:sz w:val="32"/>
          <w:szCs w:val="32"/>
        </w:rPr>
        <w:tab/>
      </w:r>
      <w:r w:rsidRPr="003F1F54">
        <w:rPr>
          <w:rFonts w:ascii="Arial" w:hAnsi="Arial" w:cs="Arial"/>
          <w:sz w:val="32"/>
          <w:szCs w:val="32"/>
        </w:rPr>
        <w:tab/>
      </w:r>
      <w:r w:rsidRPr="003F1F54">
        <w:rPr>
          <w:rFonts w:ascii="Arial" w:hAnsi="Arial" w:cs="Arial"/>
          <w:sz w:val="32"/>
          <w:szCs w:val="32"/>
        </w:rPr>
        <w:tab/>
        <w:t>2</w:t>
      </w:r>
      <w:r w:rsidR="00DF51A7" w:rsidRPr="003F1F54">
        <w:rPr>
          <w:rFonts w:ascii="Arial" w:hAnsi="Arial" w:cs="Arial"/>
          <w:sz w:val="32"/>
          <w:szCs w:val="32"/>
        </w:rPr>
        <w:t>1</w:t>
      </w:r>
      <w:r w:rsidRPr="003F1F54">
        <w:rPr>
          <w:rFonts w:ascii="Arial" w:hAnsi="Arial" w:cs="Arial"/>
          <w:sz w:val="32"/>
          <w:szCs w:val="32"/>
        </w:rPr>
        <w:t xml:space="preserve"> de septiembre de 2018</w:t>
      </w:r>
      <w:r w:rsidR="003F1F54" w:rsidRPr="003F1F54">
        <w:rPr>
          <w:rFonts w:ascii="Arial" w:hAnsi="Arial" w:cs="Arial"/>
          <w:sz w:val="32"/>
          <w:szCs w:val="32"/>
        </w:rPr>
        <w:t>.</w:t>
      </w:r>
    </w:p>
    <w:p w14:paraId="5F7F3002" w14:textId="77777777" w:rsidR="00A32B5D" w:rsidRDefault="00A32B5D" w:rsidP="003F1F54">
      <w:pPr>
        <w:jc w:val="center"/>
        <w:rPr>
          <w:rFonts w:ascii="Arial" w:hAnsi="Arial" w:cs="Arial"/>
          <w:b/>
          <w:i/>
          <w:sz w:val="32"/>
          <w:szCs w:val="32"/>
        </w:rPr>
      </w:pPr>
    </w:p>
    <w:p w14:paraId="2D619E6F" w14:textId="77777777" w:rsidR="003F1F54" w:rsidRPr="003F1F54" w:rsidRDefault="003F1F54" w:rsidP="003F1F54">
      <w:pPr>
        <w:jc w:val="center"/>
        <w:rPr>
          <w:rFonts w:ascii="Arial" w:hAnsi="Arial" w:cs="Arial"/>
          <w:b/>
          <w:i/>
          <w:sz w:val="32"/>
          <w:szCs w:val="32"/>
        </w:rPr>
      </w:pPr>
      <w:r w:rsidRPr="003F1F54">
        <w:rPr>
          <w:rFonts w:ascii="Arial" w:hAnsi="Arial" w:cs="Arial"/>
          <w:b/>
          <w:i/>
          <w:sz w:val="32"/>
          <w:szCs w:val="32"/>
        </w:rPr>
        <w:t>Dirección de los Servicios Jurídicos del CERMI Estatal</w:t>
      </w:r>
    </w:p>
    <w:p w14:paraId="1507DCC5" w14:textId="77777777" w:rsidR="003F1F54" w:rsidRPr="003F1F54" w:rsidRDefault="003F1F54" w:rsidP="003F1F54">
      <w:pPr>
        <w:jc w:val="center"/>
        <w:rPr>
          <w:rFonts w:ascii="Arial" w:hAnsi="Arial" w:cs="Arial"/>
          <w:b/>
          <w:sz w:val="32"/>
          <w:szCs w:val="32"/>
        </w:rPr>
      </w:pPr>
      <w:r w:rsidRPr="003F1F54">
        <w:rPr>
          <w:rFonts w:ascii="Arial" w:hAnsi="Arial" w:cs="Arial"/>
          <w:b/>
          <w:sz w:val="32"/>
          <w:szCs w:val="32"/>
        </w:rPr>
        <w:t>CERMI</w:t>
      </w:r>
    </w:p>
    <w:p w14:paraId="69AD403D" w14:textId="77777777" w:rsidR="003F1F54" w:rsidRPr="003F1F54" w:rsidRDefault="003F1F54" w:rsidP="003F1F54">
      <w:pPr>
        <w:jc w:val="center"/>
        <w:rPr>
          <w:rFonts w:ascii="Arial" w:hAnsi="Arial" w:cs="Arial"/>
          <w:b/>
          <w:sz w:val="32"/>
          <w:szCs w:val="32"/>
        </w:rPr>
      </w:pPr>
      <w:hyperlink r:id="rId8" w:history="1">
        <w:r w:rsidRPr="003F1F54">
          <w:rPr>
            <w:rStyle w:val="Hipervnculo"/>
            <w:rFonts w:ascii="Arial" w:hAnsi="Arial" w:cs="Arial"/>
            <w:b/>
            <w:sz w:val="32"/>
            <w:szCs w:val="32"/>
          </w:rPr>
          <w:t>www.cermi.es</w:t>
        </w:r>
      </w:hyperlink>
    </w:p>
    <w:p w14:paraId="368659B9" w14:textId="77777777" w:rsidR="003F1F54" w:rsidRPr="003F1F54" w:rsidRDefault="003F1F54" w:rsidP="003F1F54">
      <w:pPr>
        <w:jc w:val="center"/>
        <w:rPr>
          <w:rFonts w:ascii="Arial" w:hAnsi="Arial" w:cs="Arial"/>
          <w:b/>
          <w:sz w:val="32"/>
          <w:szCs w:val="32"/>
        </w:rPr>
      </w:pPr>
    </w:p>
    <w:p w14:paraId="5B2CE7D2" w14:textId="77777777" w:rsidR="00474482" w:rsidRPr="003F1F54" w:rsidRDefault="00474482" w:rsidP="00262EF2">
      <w:pPr>
        <w:jc w:val="both"/>
        <w:rPr>
          <w:rFonts w:ascii="Times New Roman" w:hAnsi="Times New Roman" w:cs="Times New Roman"/>
          <w:sz w:val="32"/>
          <w:szCs w:val="32"/>
        </w:rPr>
      </w:pPr>
    </w:p>
    <w:p w14:paraId="64C6466B" w14:textId="77777777" w:rsidR="00550413" w:rsidRPr="003F1F54" w:rsidRDefault="00550413" w:rsidP="00262EF2">
      <w:pPr>
        <w:jc w:val="both"/>
        <w:rPr>
          <w:rFonts w:ascii="Times New Roman" w:hAnsi="Times New Roman" w:cs="Times New Roman"/>
          <w:sz w:val="32"/>
          <w:szCs w:val="32"/>
        </w:rPr>
      </w:pPr>
      <w:r w:rsidRPr="003F1F54">
        <w:rPr>
          <w:rFonts w:ascii="Times New Roman" w:hAnsi="Times New Roman" w:cs="Times New Roman"/>
          <w:sz w:val="32"/>
          <w:szCs w:val="32"/>
        </w:rPr>
        <w:t xml:space="preserve"> </w:t>
      </w:r>
    </w:p>
    <w:sectPr w:rsidR="00550413" w:rsidRPr="003F1F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82295" w14:textId="77777777" w:rsidR="006278D3" w:rsidRDefault="006278D3" w:rsidP="006278D3">
      <w:pPr>
        <w:spacing w:after="0" w:line="240" w:lineRule="auto"/>
      </w:pPr>
      <w:r>
        <w:separator/>
      </w:r>
    </w:p>
  </w:endnote>
  <w:endnote w:type="continuationSeparator" w:id="0">
    <w:p w14:paraId="47D7D0BE" w14:textId="77777777" w:rsidR="006278D3" w:rsidRDefault="006278D3" w:rsidP="0062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80E64" w14:textId="77777777" w:rsidR="006278D3" w:rsidRDefault="006278D3" w:rsidP="006278D3">
      <w:pPr>
        <w:spacing w:after="0" w:line="240" w:lineRule="auto"/>
      </w:pPr>
      <w:r>
        <w:separator/>
      </w:r>
    </w:p>
  </w:footnote>
  <w:footnote w:type="continuationSeparator" w:id="0">
    <w:p w14:paraId="3CBD30F4" w14:textId="77777777" w:rsidR="006278D3" w:rsidRDefault="006278D3" w:rsidP="00627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3E"/>
    <w:rsid w:val="00262EF2"/>
    <w:rsid w:val="003F1F54"/>
    <w:rsid w:val="00474482"/>
    <w:rsid w:val="00550413"/>
    <w:rsid w:val="006278D3"/>
    <w:rsid w:val="008E763E"/>
    <w:rsid w:val="00A32B5D"/>
    <w:rsid w:val="00BC1433"/>
    <w:rsid w:val="00DF51A7"/>
    <w:rsid w:val="00F202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89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78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78D3"/>
  </w:style>
  <w:style w:type="paragraph" w:styleId="Piedepgina">
    <w:name w:val="footer"/>
    <w:basedOn w:val="Normal"/>
    <w:link w:val="PiedepginaCar"/>
    <w:uiPriority w:val="99"/>
    <w:unhideWhenUsed/>
    <w:rsid w:val="006278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78D3"/>
  </w:style>
  <w:style w:type="paragraph" w:styleId="Textodeglobo">
    <w:name w:val="Balloon Text"/>
    <w:basedOn w:val="Normal"/>
    <w:link w:val="TextodegloboCar"/>
    <w:uiPriority w:val="99"/>
    <w:semiHidden/>
    <w:unhideWhenUsed/>
    <w:rsid w:val="003F1F5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1F54"/>
    <w:rPr>
      <w:rFonts w:ascii="Lucida Grande" w:hAnsi="Lucida Grande" w:cs="Lucida Grande"/>
      <w:sz w:val="18"/>
      <w:szCs w:val="18"/>
    </w:rPr>
  </w:style>
  <w:style w:type="character" w:styleId="Hipervnculo">
    <w:name w:val="Hyperlink"/>
    <w:basedOn w:val="Fuentedeprrafopredeter"/>
    <w:uiPriority w:val="99"/>
    <w:unhideWhenUsed/>
    <w:rsid w:val="003F1F5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78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78D3"/>
  </w:style>
  <w:style w:type="paragraph" w:styleId="Piedepgina">
    <w:name w:val="footer"/>
    <w:basedOn w:val="Normal"/>
    <w:link w:val="PiedepginaCar"/>
    <w:uiPriority w:val="99"/>
    <w:unhideWhenUsed/>
    <w:rsid w:val="006278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78D3"/>
  </w:style>
  <w:style w:type="paragraph" w:styleId="Textodeglobo">
    <w:name w:val="Balloon Text"/>
    <w:basedOn w:val="Normal"/>
    <w:link w:val="TextodegloboCar"/>
    <w:uiPriority w:val="99"/>
    <w:semiHidden/>
    <w:unhideWhenUsed/>
    <w:rsid w:val="003F1F5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F1F54"/>
    <w:rPr>
      <w:rFonts w:ascii="Lucida Grande" w:hAnsi="Lucida Grande" w:cs="Lucida Grande"/>
      <w:sz w:val="18"/>
      <w:szCs w:val="18"/>
    </w:rPr>
  </w:style>
  <w:style w:type="character" w:styleId="Hipervnculo">
    <w:name w:val="Hyperlink"/>
    <w:basedOn w:val="Fuentedeprrafopredeter"/>
    <w:uiPriority w:val="99"/>
    <w:unhideWhenUsed/>
    <w:rsid w:val="003F1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erm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1674</Characters>
  <Application>Microsoft Macintosh Word</Application>
  <DocSecurity>0</DocSecurity>
  <Lines>13</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2018-09-21T10:02:00Z</dcterms:created>
  <dcterms:modified xsi:type="dcterms:W3CDTF">2018-09-21T10:11:00Z</dcterms:modified>
</cp:coreProperties>
</file>