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B9E4" w14:textId="77777777" w:rsidR="007B6337" w:rsidRDefault="007B6337" w:rsidP="007B6337">
      <w:pPr>
        <w:pBdr>
          <w:bottom w:val="single" w:sz="12" w:space="1" w:color="auto"/>
        </w:pBdr>
        <w:jc w:val="center"/>
        <w:rPr>
          <w:rFonts w:ascii="Arial" w:hAnsi="Arial"/>
          <w:b/>
          <w:sz w:val="28"/>
          <w:szCs w:val="28"/>
        </w:rPr>
      </w:pPr>
      <w:r>
        <w:rPr>
          <w:rFonts w:ascii="Helvetica" w:eastAsiaTheme="minorHAnsi" w:hAnsi="Helvetica" w:cs="Helvetica"/>
          <w:noProof/>
        </w:rPr>
        <w:drawing>
          <wp:inline distT="0" distB="0" distL="0" distR="0" wp14:anchorId="0984AA59" wp14:editId="4187D134">
            <wp:extent cx="1831573" cy="121531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1573" cy="1215313"/>
                    </a:xfrm>
                    <a:prstGeom prst="rect">
                      <a:avLst/>
                    </a:prstGeom>
                    <a:noFill/>
                    <a:ln>
                      <a:noFill/>
                    </a:ln>
                  </pic:spPr>
                </pic:pic>
              </a:graphicData>
            </a:graphic>
          </wp:inline>
        </w:drawing>
      </w:r>
    </w:p>
    <w:p w14:paraId="400A206B" w14:textId="77777777" w:rsidR="007B6337" w:rsidRDefault="007B6337" w:rsidP="007B6337">
      <w:pPr>
        <w:pBdr>
          <w:bottom w:val="single" w:sz="12" w:space="1" w:color="auto"/>
        </w:pBdr>
        <w:jc w:val="center"/>
        <w:rPr>
          <w:rFonts w:ascii="Arial" w:hAnsi="Arial"/>
          <w:b/>
          <w:sz w:val="28"/>
          <w:szCs w:val="28"/>
        </w:rPr>
      </w:pPr>
    </w:p>
    <w:p w14:paraId="5F8A7260" w14:textId="77777777" w:rsidR="0067294D" w:rsidRPr="00FA3819" w:rsidRDefault="00FA3819" w:rsidP="0067294D">
      <w:pPr>
        <w:pBdr>
          <w:bottom w:val="single" w:sz="12" w:space="1" w:color="auto"/>
        </w:pBdr>
        <w:jc w:val="both"/>
        <w:rPr>
          <w:rFonts w:ascii="Arial" w:hAnsi="Arial"/>
          <w:b/>
          <w:sz w:val="28"/>
          <w:szCs w:val="28"/>
        </w:rPr>
      </w:pPr>
      <w:r w:rsidRPr="00FA3819">
        <w:rPr>
          <w:rFonts w:ascii="Arial" w:hAnsi="Arial"/>
          <w:b/>
          <w:sz w:val="28"/>
          <w:szCs w:val="28"/>
        </w:rPr>
        <w:t>PROPUESTAS DE ENMIENDAS DEL CERMI (DISCAPACIDAD) PROYECTO DE LEY POR LA QUE SE MODIFICA EL CÓDIGO DE COMERCIO, EL TEXTO REFUNDIDO DE LA LEY DE SOCIEDADES DE CAPITAL APROBADO POR EL REAL DECRETO LEGISLATIVO 1/2010, DE 2 DE JULIO, Y LA LEY 22/2015, DE 20 DE JULIO, DE AUDITORÍA DE CUENTAS, EN MATERIA DE INFORMACIÓN NO FINANCIERA Y DIVERSIDAD (PROCEDENTE DEL REAL DECRETO-LEY 18/2017, DE 24 DE NOVIEMBRE)</w:t>
      </w:r>
      <w:r>
        <w:rPr>
          <w:rFonts w:ascii="Arial" w:hAnsi="Arial"/>
          <w:b/>
          <w:sz w:val="28"/>
          <w:szCs w:val="28"/>
        </w:rPr>
        <w:t xml:space="preserve"> </w:t>
      </w:r>
      <w:r w:rsidRPr="00FA3819">
        <w:rPr>
          <w:rFonts w:ascii="Arial" w:hAnsi="Arial"/>
          <w:b/>
          <w:sz w:val="28"/>
          <w:szCs w:val="28"/>
        </w:rPr>
        <w:t>– TRÁMITE DEL SENADO</w:t>
      </w:r>
    </w:p>
    <w:p w14:paraId="5D52ADFB" w14:textId="77777777" w:rsidR="00FA3819" w:rsidRPr="00FA3819" w:rsidRDefault="00FA3819">
      <w:pPr>
        <w:rPr>
          <w:rFonts w:ascii="Arial" w:hAnsi="Arial"/>
          <w:sz w:val="28"/>
          <w:szCs w:val="28"/>
        </w:rPr>
      </w:pPr>
    </w:p>
    <w:p w14:paraId="47E95F9C" w14:textId="77777777" w:rsidR="0067294D" w:rsidRPr="00FA3819" w:rsidRDefault="0067294D" w:rsidP="0067294D">
      <w:pPr>
        <w:jc w:val="both"/>
        <w:rPr>
          <w:rFonts w:ascii="Arial" w:hAnsi="Arial"/>
          <w:b/>
          <w:sz w:val="28"/>
          <w:szCs w:val="28"/>
        </w:rPr>
      </w:pPr>
      <w:r w:rsidRPr="00FA3819">
        <w:rPr>
          <w:rFonts w:ascii="Arial" w:hAnsi="Arial"/>
          <w:b/>
          <w:sz w:val="28"/>
          <w:szCs w:val="28"/>
        </w:rPr>
        <w:t xml:space="preserve">PROPUESTAS </w:t>
      </w:r>
      <w:r w:rsidR="00FA3819" w:rsidRPr="00FA3819">
        <w:rPr>
          <w:rFonts w:ascii="Arial" w:hAnsi="Arial"/>
          <w:b/>
          <w:sz w:val="28"/>
          <w:szCs w:val="28"/>
        </w:rPr>
        <w:t xml:space="preserve">DE ENMIENDAS: </w:t>
      </w:r>
    </w:p>
    <w:p w14:paraId="5F05ACF3" w14:textId="77777777" w:rsidR="0067294D" w:rsidRPr="00FA3819" w:rsidRDefault="0067294D" w:rsidP="0067294D">
      <w:pPr>
        <w:jc w:val="both"/>
        <w:rPr>
          <w:rFonts w:ascii="Arial" w:hAnsi="Arial"/>
          <w:b/>
          <w:sz w:val="28"/>
          <w:szCs w:val="28"/>
        </w:rPr>
      </w:pPr>
    </w:p>
    <w:p w14:paraId="77C8D8D7" w14:textId="77777777" w:rsidR="0067294D" w:rsidRPr="00FA3819" w:rsidRDefault="0067294D" w:rsidP="0067294D">
      <w:pPr>
        <w:jc w:val="both"/>
        <w:rPr>
          <w:rFonts w:ascii="Arial" w:hAnsi="Arial"/>
          <w:b/>
          <w:sz w:val="28"/>
          <w:szCs w:val="28"/>
          <w:u w:val="single"/>
        </w:rPr>
      </w:pPr>
      <w:r w:rsidRPr="00FA3819">
        <w:rPr>
          <w:rFonts w:ascii="Arial" w:hAnsi="Arial"/>
          <w:b/>
          <w:sz w:val="28"/>
          <w:szCs w:val="28"/>
          <w:u w:val="single"/>
        </w:rPr>
        <w:t>1</w:t>
      </w:r>
      <w:r w:rsidR="00FA3819" w:rsidRPr="00FA3819">
        <w:rPr>
          <w:rFonts w:ascii="Arial" w:hAnsi="Arial"/>
          <w:b/>
          <w:sz w:val="28"/>
          <w:szCs w:val="28"/>
          <w:u w:val="single"/>
        </w:rPr>
        <w:t>ª</w:t>
      </w:r>
      <w:r w:rsidRPr="00FA3819">
        <w:rPr>
          <w:rFonts w:ascii="Arial" w:hAnsi="Arial"/>
          <w:b/>
          <w:sz w:val="28"/>
          <w:szCs w:val="28"/>
          <w:u w:val="single"/>
        </w:rPr>
        <w:t>. Modificación del Código de Comercio, aprobado por Real Decreto de 22 de agosto de 1885.</w:t>
      </w:r>
    </w:p>
    <w:p w14:paraId="6F33A5E4" w14:textId="77777777" w:rsidR="0067294D" w:rsidRPr="00FA3819" w:rsidRDefault="0067294D" w:rsidP="0067294D">
      <w:pPr>
        <w:jc w:val="both"/>
        <w:rPr>
          <w:rFonts w:ascii="Arial" w:hAnsi="Arial"/>
          <w:b/>
          <w:sz w:val="28"/>
          <w:szCs w:val="28"/>
          <w:u w:val="single"/>
        </w:rPr>
      </w:pPr>
    </w:p>
    <w:p w14:paraId="2B700A59" w14:textId="77777777" w:rsidR="0067294D" w:rsidRPr="00FA3819" w:rsidRDefault="0067294D" w:rsidP="0067294D">
      <w:pPr>
        <w:jc w:val="both"/>
        <w:rPr>
          <w:rFonts w:ascii="Arial" w:hAnsi="Arial"/>
          <w:b/>
          <w:sz w:val="28"/>
          <w:szCs w:val="28"/>
        </w:rPr>
      </w:pPr>
      <w:r w:rsidRPr="00FA3819">
        <w:rPr>
          <w:rFonts w:ascii="Arial" w:hAnsi="Arial"/>
          <w:b/>
          <w:sz w:val="28"/>
          <w:szCs w:val="28"/>
        </w:rPr>
        <w:t xml:space="preserve">1.1. Se </w:t>
      </w:r>
      <w:r w:rsidR="00FA3819" w:rsidRPr="00FA3819">
        <w:rPr>
          <w:rFonts w:ascii="Arial" w:hAnsi="Arial"/>
          <w:b/>
          <w:sz w:val="28"/>
          <w:szCs w:val="28"/>
        </w:rPr>
        <w:t xml:space="preserve">propone dar </w:t>
      </w:r>
      <w:r w:rsidRPr="00FA3819">
        <w:rPr>
          <w:rFonts w:ascii="Arial" w:hAnsi="Arial"/>
          <w:b/>
          <w:sz w:val="28"/>
          <w:szCs w:val="28"/>
        </w:rPr>
        <w:t xml:space="preserve">nueva redacción </w:t>
      </w:r>
      <w:r w:rsidR="008F6F82" w:rsidRPr="00FA3819">
        <w:rPr>
          <w:rFonts w:ascii="Arial" w:hAnsi="Arial"/>
          <w:b/>
          <w:sz w:val="28"/>
          <w:szCs w:val="28"/>
        </w:rPr>
        <w:t>al primer párrafo del apartado 6</w:t>
      </w:r>
      <w:r w:rsidRPr="00FA3819">
        <w:rPr>
          <w:rFonts w:ascii="Arial" w:hAnsi="Arial"/>
          <w:b/>
          <w:sz w:val="28"/>
          <w:szCs w:val="28"/>
        </w:rPr>
        <w:t xml:space="preserve"> del artículo 49, que queda redactado como sigue:</w:t>
      </w:r>
    </w:p>
    <w:p w14:paraId="0449CF2E" w14:textId="77777777" w:rsidR="0067294D" w:rsidRPr="00FA3819" w:rsidRDefault="0067294D" w:rsidP="0067294D">
      <w:pPr>
        <w:jc w:val="both"/>
        <w:rPr>
          <w:rFonts w:ascii="Arial" w:hAnsi="Arial"/>
          <w:sz w:val="28"/>
          <w:szCs w:val="28"/>
        </w:rPr>
      </w:pPr>
    </w:p>
    <w:p w14:paraId="1E9DB8D5" w14:textId="77777777" w:rsidR="00FA3819" w:rsidRPr="00FA3819" w:rsidRDefault="00FA3819" w:rsidP="00FA3819">
      <w:pPr>
        <w:ind w:left="709"/>
        <w:jc w:val="both"/>
        <w:rPr>
          <w:rFonts w:ascii="Arial" w:hAnsi="Arial"/>
          <w:i/>
          <w:color w:val="000000" w:themeColor="text1"/>
          <w:sz w:val="28"/>
          <w:szCs w:val="28"/>
        </w:rPr>
      </w:pPr>
      <w:r w:rsidRPr="00FA3819">
        <w:rPr>
          <w:rFonts w:ascii="Arial" w:hAnsi="Arial"/>
          <w:i/>
          <w:color w:val="000000" w:themeColor="text1"/>
          <w:sz w:val="28"/>
          <w:szCs w:val="28"/>
        </w:rPr>
        <w:t xml:space="preserve">«6. El estado de información no financiera consolidado incluirá la información necesaria para comprender la evolución, los resultados y la situación del grupo, y el impacto de su actividad respecto, al menos, a cuestiones medioambientales y sociales, al respeto de los derechos humanos y a la lucha contra la corrupción y el soborno, así como relativas al personal, incluidas las medidas que, en su caso, se hayan adoptado para favorecer el principio de igualdad de trato y de oportunidades entre mujeres y hombres, </w:t>
      </w:r>
      <w:r w:rsidRPr="00FA3819">
        <w:rPr>
          <w:rFonts w:ascii="Arial" w:hAnsi="Arial"/>
          <w:b/>
          <w:color w:val="FF0000"/>
          <w:sz w:val="28"/>
          <w:szCs w:val="28"/>
          <w:u w:val="single"/>
        </w:rPr>
        <w:t>la no discriminación e inclusión de las personas con discapacidad y la accesibilidad universal</w:t>
      </w:r>
      <w:r w:rsidRPr="00FA3819">
        <w:rPr>
          <w:rFonts w:ascii="Arial" w:hAnsi="Arial"/>
          <w:i/>
          <w:color w:val="000000" w:themeColor="text1"/>
          <w:sz w:val="28"/>
          <w:szCs w:val="28"/>
        </w:rPr>
        <w:t>. Este estado de información no financiera incluirá:</w:t>
      </w:r>
    </w:p>
    <w:p w14:paraId="23C881CC" w14:textId="77777777" w:rsidR="00FA3819" w:rsidRPr="00FA3819" w:rsidRDefault="00FA3819" w:rsidP="008F6F82">
      <w:pPr>
        <w:ind w:left="709"/>
        <w:jc w:val="both"/>
        <w:rPr>
          <w:rFonts w:ascii="Arial" w:hAnsi="Arial"/>
          <w:i/>
          <w:color w:val="000000" w:themeColor="text1"/>
          <w:sz w:val="28"/>
          <w:szCs w:val="28"/>
        </w:rPr>
      </w:pPr>
    </w:p>
    <w:p w14:paraId="5E282E59" w14:textId="77777777" w:rsidR="0067294D" w:rsidRPr="00FA3819" w:rsidRDefault="0067294D" w:rsidP="0067294D">
      <w:pPr>
        <w:jc w:val="both"/>
        <w:rPr>
          <w:rFonts w:ascii="Arial" w:hAnsi="Arial"/>
          <w:b/>
          <w:sz w:val="28"/>
          <w:szCs w:val="28"/>
          <w:u w:val="single"/>
        </w:rPr>
      </w:pPr>
      <w:r w:rsidRPr="00FA3819">
        <w:rPr>
          <w:rFonts w:ascii="Arial" w:hAnsi="Arial"/>
          <w:b/>
          <w:sz w:val="28"/>
          <w:szCs w:val="28"/>
          <w:u w:val="single"/>
        </w:rPr>
        <w:t>2</w:t>
      </w:r>
      <w:r w:rsidR="00FA3819" w:rsidRPr="00FA3819">
        <w:rPr>
          <w:rFonts w:ascii="Arial" w:hAnsi="Arial"/>
          <w:b/>
          <w:sz w:val="28"/>
          <w:szCs w:val="28"/>
          <w:u w:val="single"/>
        </w:rPr>
        <w:t>ª</w:t>
      </w:r>
      <w:r w:rsidRPr="00FA3819">
        <w:rPr>
          <w:rFonts w:ascii="Arial" w:hAnsi="Arial"/>
          <w:b/>
          <w:sz w:val="28"/>
          <w:szCs w:val="28"/>
          <w:u w:val="single"/>
        </w:rPr>
        <w:t>. Modificación del Texto Refundido de la Ley de Sociedades de Capital, aprobado por el Real Decreto Legislativo 1/2010, de 2 de julio.</w:t>
      </w:r>
    </w:p>
    <w:p w14:paraId="4686F1DC" w14:textId="77777777" w:rsidR="0067294D" w:rsidRPr="00FA3819" w:rsidRDefault="0067294D" w:rsidP="0067294D">
      <w:pPr>
        <w:jc w:val="both"/>
        <w:rPr>
          <w:rFonts w:ascii="Arial" w:hAnsi="Arial"/>
          <w:sz w:val="28"/>
          <w:szCs w:val="28"/>
        </w:rPr>
      </w:pPr>
    </w:p>
    <w:p w14:paraId="41F9637B" w14:textId="77777777" w:rsidR="0067294D" w:rsidRPr="00FA3819" w:rsidRDefault="0067294D" w:rsidP="0067294D">
      <w:pPr>
        <w:autoSpaceDE w:val="0"/>
        <w:autoSpaceDN w:val="0"/>
        <w:adjustRightInd w:val="0"/>
        <w:jc w:val="both"/>
        <w:rPr>
          <w:rFonts w:ascii="Arial" w:hAnsi="Arial"/>
          <w:b/>
          <w:color w:val="000000"/>
          <w:sz w:val="28"/>
          <w:szCs w:val="28"/>
        </w:rPr>
      </w:pPr>
      <w:r w:rsidRPr="00FA3819">
        <w:rPr>
          <w:rFonts w:ascii="Arial" w:hAnsi="Arial"/>
          <w:b/>
          <w:color w:val="000000"/>
          <w:sz w:val="28"/>
          <w:szCs w:val="28"/>
        </w:rPr>
        <w:lastRenderedPageBreak/>
        <w:t xml:space="preserve">2.1. Se </w:t>
      </w:r>
      <w:r w:rsidR="00FA3819" w:rsidRPr="00FA3819">
        <w:rPr>
          <w:rFonts w:ascii="Arial" w:hAnsi="Arial"/>
          <w:b/>
          <w:color w:val="000000"/>
          <w:sz w:val="28"/>
          <w:szCs w:val="28"/>
        </w:rPr>
        <w:t xml:space="preserve">propone </w:t>
      </w:r>
      <w:r w:rsidRPr="00FA3819">
        <w:rPr>
          <w:rFonts w:ascii="Arial" w:hAnsi="Arial"/>
          <w:b/>
          <w:color w:val="000000"/>
          <w:sz w:val="28"/>
          <w:szCs w:val="28"/>
        </w:rPr>
        <w:t>modifica</w:t>
      </w:r>
      <w:r w:rsidR="00FA3819" w:rsidRPr="00FA3819">
        <w:rPr>
          <w:rFonts w:ascii="Arial" w:hAnsi="Arial"/>
          <w:b/>
          <w:color w:val="000000"/>
          <w:sz w:val="28"/>
          <w:szCs w:val="28"/>
        </w:rPr>
        <w:t>r</w:t>
      </w:r>
      <w:r w:rsidRPr="00FA3819">
        <w:rPr>
          <w:rFonts w:ascii="Arial" w:hAnsi="Arial"/>
          <w:b/>
          <w:color w:val="000000"/>
          <w:sz w:val="28"/>
          <w:szCs w:val="28"/>
        </w:rPr>
        <w:t xml:space="preserve"> el tercer párrafo del apartado 1 del artículo 262 (Contenido del informe de gestión), que queda redactado en los siguientes términos: </w:t>
      </w:r>
    </w:p>
    <w:p w14:paraId="176A485E" w14:textId="77777777" w:rsidR="0067294D" w:rsidRPr="00FA3819" w:rsidRDefault="0067294D" w:rsidP="0067294D">
      <w:pPr>
        <w:autoSpaceDE w:val="0"/>
        <w:autoSpaceDN w:val="0"/>
        <w:adjustRightInd w:val="0"/>
        <w:jc w:val="both"/>
        <w:rPr>
          <w:rFonts w:ascii="Arial" w:hAnsi="Arial"/>
          <w:b/>
          <w:sz w:val="28"/>
          <w:szCs w:val="28"/>
        </w:rPr>
      </w:pPr>
    </w:p>
    <w:p w14:paraId="6366FA17" w14:textId="77777777" w:rsidR="0067294D" w:rsidRPr="00FA3819" w:rsidRDefault="0067294D" w:rsidP="0067294D">
      <w:pPr>
        <w:autoSpaceDE w:val="0"/>
        <w:autoSpaceDN w:val="0"/>
        <w:adjustRightInd w:val="0"/>
        <w:spacing w:line="201" w:lineRule="atLeast"/>
        <w:ind w:left="284" w:right="284"/>
        <w:jc w:val="both"/>
        <w:rPr>
          <w:rFonts w:ascii="Arial" w:hAnsi="Arial"/>
          <w:i/>
          <w:color w:val="000000"/>
          <w:sz w:val="28"/>
          <w:szCs w:val="28"/>
        </w:rPr>
      </w:pPr>
      <w:r w:rsidRPr="00FA3819">
        <w:rPr>
          <w:rFonts w:ascii="Arial" w:hAnsi="Arial"/>
          <w:i/>
          <w:color w:val="000000"/>
          <w:sz w:val="28"/>
          <w:szCs w:val="28"/>
        </w:rPr>
        <w:t>En la medida necesaria para la comprensión de la evolución, los resultados o la situación de la sociedad, este análisis incluirá tanto indicadores clave financieros como, cuando proceda, de carácter no financiero, que sean pertinentes respecto de la actividad empresarial concreta, incluida información sobre cuestiones relativas al medio ambiente, al personal</w:t>
      </w:r>
      <w:r w:rsidRPr="00FA3819">
        <w:rPr>
          <w:rFonts w:ascii="Arial" w:hAnsi="Arial"/>
          <w:b/>
          <w:i/>
          <w:sz w:val="28"/>
          <w:szCs w:val="28"/>
        </w:rPr>
        <w:t xml:space="preserve"> </w:t>
      </w:r>
      <w:r w:rsidRPr="00FA3819">
        <w:rPr>
          <w:rFonts w:ascii="Arial" w:hAnsi="Arial"/>
          <w:i/>
          <w:sz w:val="28"/>
          <w:szCs w:val="28"/>
        </w:rPr>
        <w:t>y al cumplimiento de reglas en materia de igualdad y no discriminación y discapacidad</w:t>
      </w:r>
      <w:r w:rsidRPr="00FA3819">
        <w:rPr>
          <w:rFonts w:ascii="Arial" w:hAnsi="Arial"/>
          <w:i/>
          <w:color w:val="000000"/>
          <w:sz w:val="28"/>
          <w:szCs w:val="28"/>
        </w:rPr>
        <w:t xml:space="preserve">. </w:t>
      </w:r>
      <w:r w:rsidR="00FA3819" w:rsidRPr="00FA3819">
        <w:rPr>
          <w:rFonts w:ascii="Arial" w:hAnsi="Arial"/>
          <w:b/>
          <w:color w:val="FF0000"/>
          <w:sz w:val="28"/>
          <w:szCs w:val="28"/>
          <w:u w:val="single"/>
        </w:rPr>
        <w:t>Salvo en la relativo a e</w:t>
      </w:r>
      <w:r w:rsidRPr="00FA3819">
        <w:rPr>
          <w:rFonts w:ascii="Arial" w:hAnsi="Arial"/>
          <w:b/>
          <w:color w:val="FF0000"/>
          <w:sz w:val="28"/>
          <w:szCs w:val="28"/>
          <w:u w:val="single"/>
        </w:rPr>
        <w:t>stas últimas</w:t>
      </w:r>
      <w:r w:rsidRPr="00FA3819">
        <w:rPr>
          <w:rFonts w:ascii="Arial" w:hAnsi="Arial"/>
          <w:b/>
          <w:i/>
          <w:color w:val="FF0000"/>
          <w:sz w:val="28"/>
          <w:szCs w:val="28"/>
        </w:rPr>
        <w:t>,</w:t>
      </w:r>
      <w:r w:rsidRPr="00FA3819">
        <w:rPr>
          <w:rFonts w:ascii="Arial" w:hAnsi="Arial"/>
          <w:b/>
          <w:i/>
          <w:color w:val="000000"/>
          <w:sz w:val="28"/>
          <w:szCs w:val="28"/>
        </w:rPr>
        <w:t xml:space="preserve"> </w:t>
      </w:r>
      <w:r w:rsidRPr="00FA3819">
        <w:rPr>
          <w:rFonts w:ascii="Arial" w:hAnsi="Arial"/>
          <w:i/>
          <w:color w:val="000000"/>
          <w:sz w:val="28"/>
          <w:szCs w:val="28"/>
        </w:rPr>
        <w:t>se exceptúa de la obligación de incluir información de carácter no financiero, a las sociedades que puedan presentar cuenta de pérdidas y ganancias abreviada.</w:t>
      </w:r>
    </w:p>
    <w:p w14:paraId="00952A30" w14:textId="77777777" w:rsidR="0067294D" w:rsidRPr="00FA3819" w:rsidRDefault="0067294D" w:rsidP="00F97054">
      <w:pPr>
        <w:ind w:right="284" w:firstLine="284"/>
        <w:jc w:val="both"/>
        <w:rPr>
          <w:rFonts w:ascii="Arial" w:hAnsi="Arial"/>
          <w:i/>
          <w:sz w:val="28"/>
          <w:szCs w:val="28"/>
        </w:rPr>
      </w:pPr>
      <w:r w:rsidRPr="00FA3819">
        <w:rPr>
          <w:rFonts w:ascii="Arial" w:hAnsi="Arial"/>
          <w:i/>
          <w:sz w:val="28"/>
          <w:szCs w:val="28"/>
        </w:rPr>
        <w:t>...</w:t>
      </w:r>
    </w:p>
    <w:p w14:paraId="75802124" w14:textId="77777777" w:rsidR="0067294D" w:rsidRPr="00FA3819" w:rsidRDefault="00F97054" w:rsidP="0067294D">
      <w:pPr>
        <w:shd w:val="clear" w:color="auto" w:fill="FFFFFF"/>
        <w:spacing w:before="360" w:after="180"/>
        <w:jc w:val="both"/>
        <w:rPr>
          <w:rFonts w:ascii="Arial" w:hAnsi="Arial"/>
          <w:b/>
          <w:bCs/>
          <w:sz w:val="28"/>
          <w:szCs w:val="28"/>
        </w:rPr>
      </w:pPr>
      <w:r w:rsidRPr="00FA3819">
        <w:rPr>
          <w:rFonts w:ascii="Arial" w:hAnsi="Arial"/>
          <w:b/>
          <w:bCs/>
          <w:sz w:val="28"/>
          <w:szCs w:val="28"/>
        </w:rPr>
        <w:t>2.2</w:t>
      </w:r>
      <w:r w:rsidR="0067294D" w:rsidRPr="00FA3819">
        <w:rPr>
          <w:rFonts w:ascii="Arial" w:hAnsi="Arial"/>
          <w:b/>
          <w:bCs/>
          <w:sz w:val="28"/>
          <w:szCs w:val="28"/>
        </w:rPr>
        <w:t xml:space="preserve">. </w:t>
      </w:r>
      <w:r w:rsidR="00FA3819" w:rsidRPr="00FA3819">
        <w:rPr>
          <w:rFonts w:ascii="Arial" w:hAnsi="Arial"/>
          <w:b/>
          <w:bCs/>
          <w:sz w:val="28"/>
          <w:szCs w:val="28"/>
        </w:rPr>
        <w:t xml:space="preserve">Adición (nueva). </w:t>
      </w:r>
      <w:r w:rsidR="0067294D" w:rsidRPr="00FA3819">
        <w:rPr>
          <w:rFonts w:ascii="Arial" w:hAnsi="Arial"/>
          <w:b/>
          <w:bCs/>
          <w:sz w:val="28"/>
          <w:szCs w:val="28"/>
        </w:rPr>
        <w:t xml:space="preserve">Se </w:t>
      </w:r>
      <w:r w:rsidR="00FA3819" w:rsidRPr="00FA3819">
        <w:rPr>
          <w:rFonts w:ascii="Arial" w:hAnsi="Arial"/>
          <w:b/>
          <w:bCs/>
          <w:sz w:val="28"/>
          <w:szCs w:val="28"/>
        </w:rPr>
        <w:t xml:space="preserve">propone </w:t>
      </w:r>
      <w:r w:rsidR="0067294D" w:rsidRPr="00FA3819">
        <w:rPr>
          <w:rFonts w:ascii="Arial" w:hAnsi="Arial"/>
          <w:b/>
          <w:bCs/>
          <w:sz w:val="28"/>
          <w:szCs w:val="28"/>
        </w:rPr>
        <w:t>inserta</w:t>
      </w:r>
      <w:r w:rsidR="00FA3819" w:rsidRPr="00FA3819">
        <w:rPr>
          <w:rFonts w:ascii="Arial" w:hAnsi="Arial"/>
          <w:b/>
          <w:bCs/>
          <w:sz w:val="28"/>
          <w:szCs w:val="28"/>
        </w:rPr>
        <w:t>r</w:t>
      </w:r>
      <w:r w:rsidR="0067294D" w:rsidRPr="00FA3819">
        <w:rPr>
          <w:rFonts w:ascii="Arial" w:hAnsi="Arial"/>
          <w:b/>
          <w:bCs/>
          <w:sz w:val="28"/>
          <w:szCs w:val="28"/>
        </w:rPr>
        <w:t xml:space="preserve"> un segundo párrafo en el artículo 514, redactado de la siguiente manera:</w:t>
      </w:r>
    </w:p>
    <w:p w14:paraId="4F845AA3" w14:textId="77777777" w:rsidR="00F97054" w:rsidRPr="00FA3819" w:rsidRDefault="0067294D" w:rsidP="0067294D">
      <w:pPr>
        <w:shd w:val="clear" w:color="auto" w:fill="FFFFFF"/>
        <w:spacing w:before="360" w:after="180"/>
        <w:ind w:left="284" w:right="284"/>
        <w:jc w:val="both"/>
        <w:rPr>
          <w:rFonts w:ascii="Arial" w:hAnsi="Arial"/>
          <w:b/>
          <w:color w:val="FF0000"/>
          <w:sz w:val="28"/>
          <w:szCs w:val="28"/>
          <w:u w:val="single"/>
        </w:rPr>
      </w:pPr>
      <w:r w:rsidRPr="00FA3819">
        <w:rPr>
          <w:rFonts w:ascii="Arial" w:hAnsi="Arial"/>
          <w:b/>
          <w:color w:val="FF0000"/>
          <w:sz w:val="28"/>
          <w:szCs w:val="28"/>
          <w:u w:val="single"/>
        </w:rPr>
        <w:t xml:space="preserve">Las sociedades anónimas cotizadas garantizarán, en todo momento, la igualdad de trato de todos los accionistas que se hallen en la misma posición, en lo que se refiere a la información, la participación y el ejercicio del derecho de voto en la junta general. </w:t>
      </w:r>
    </w:p>
    <w:p w14:paraId="23960EA3" w14:textId="77777777" w:rsidR="007B6337" w:rsidRDefault="0067294D" w:rsidP="007B6337">
      <w:pPr>
        <w:shd w:val="clear" w:color="auto" w:fill="FFFFFF"/>
        <w:spacing w:before="360" w:after="180"/>
        <w:ind w:left="284" w:right="284"/>
        <w:jc w:val="both"/>
        <w:rPr>
          <w:rFonts w:ascii="Arial" w:hAnsi="Arial"/>
          <w:b/>
          <w:bCs/>
          <w:color w:val="FF0000"/>
          <w:sz w:val="28"/>
          <w:szCs w:val="28"/>
          <w:u w:val="single"/>
        </w:rPr>
      </w:pPr>
      <w:r w:rsidRPr="00FA3819">
        <w:rPr>
          <w:rFonts w:ascii="Arial" w:hAnsi="Arial"/>
          <w:b/>
          <w:color w:val="FF0000"/>
          <w:sz w:val="28"/>
          <w:szCs w:val="28"/>
          <w:u w:val="single"/>
        </w:rPr>
        <w:t>En particular, deberá</w:t>
      </w:r>
      <w:r w:rsidR="007B6337">
        <w:rPr>
          <w:rFonts w:ascii="Arial" w:hAnsi="Arial"/>
          <w:b/>
          <w:color w:val="FF0000"/>
          <w:sz w:val="28"/>
          <w:szCs w:val="28"/>
          <w:u w:val="single"/>
        </w:rPr>
        <w:t>n</w:t>
      </w:r>
      <w:r w:rsidRPr="00FA3819">
        <w:rPr>
          <w:rFonts w:ascii="Arial" w:hAnsi="Arial"/>
          <w:b/>
          <w:color w:val="FF0000"/>
          <w:sz w:val="28"/>
          <w:szCs w:val="28"/>
          <w:u w:val="single"/>
        </w:rPr>
        <w:t xml:space="preserve"> dar cobertura a los requisitos de accesibilidad de</w:t>
      </w:r>
      <w:r w:rsidR="007B6337">
        <w:rPr>
          <w:rFonts w:ascii="Arial" w:hAnsi="Arial"/>
          <w:b/>
          <w:color w:val="FF0000"/>
          <w:sz w:val="28"/>
          <w:szCs w:val="28"/>
          <w:u w:val="single"/>
        </w:rPr>
        <w:t xml:space="preserve"> las personas con discapacidad y</w:t>
      </w:r>
      <w:r w:rsidRPr="00FA3819">
        <w:rPr>
          <w:rFonts w:ascii="Arial" w:hAnsi="Arial"/>
          <w:b/>
          <w:color w:val="FF0000"/>
          <w:sz w:val="28"/>
          <w:szCs w:val="28"/>
          <w:u w:val="single"/>
        </w:rPr>
        <w:t xml:space="preserve"> personas mayores que garanticen su derecho a disponer de información previa, y a ejercer su voto.</w:t>
      </w:r>
    </w:p>
    <w:p w14:paraId="4EBC3A83" w14:textId="77777777" w:rsidR="007B6337" w:rsidRPr="007B6337" w:rsidRDefault="007B6337" w:rsidP="007B6337">
      <w:pPr>
        <w:shd w:val="clear" w:color="auto" w:fill="FFFFFF"/>
        <w:spacing w:before="360" w:after="180"/>
        <w:ind w:left="284" w:right="284"/>
        <w:jc w:val="both"/>
        <w:rPr>
          <w:rFonts w:ascii="Arial" w:hAnsi="Arial"/>
          <w:b/>
          <w:bCs/>
          <w:color w:val="FF0000"/>
          <w:sz w:val="28"/>
          <w:szCs w:val="28"/>
          <w:u w:val="single"/>
        </w:rPr>
      </w:pPr>
    </w:p>
    <w:p w14:paraId="261D8F61" w14:textId="77777777" w:rsidR="0067294D" w:rsidRPr="00FA3819" w:rsidRDefault="0067294D" w:rsidP="0067294D">
      <w:pPr>
        <w:autoSpaceDE w:val="0"/>
        <w:autoSpaceDN w:val="0"/>
        <w:adjustRightInd w:val="0"/>
        <w:jc w:val="both"/>
        <w:rPr>
          <w:rFonts w:ascii="Arial" w:hAnsi="Arial"/>
          <w:b/>
          <w:color w:val="000000"/>
          <w:sz w:val="28"/>
          <w:szCs w:val="28"/>
        </w:rPr>
      </w:pPr>
      <w:r w:rsidRPr="00FA3819">
        <w:rPr>
          <w:rFonts w:ascii="Arial" w:hAnsi="Arial"/>
          <w:b/>
          <w:bCs/>
          <w:color w:val="000000"/>
          <w:sz w:val="28"/>
          <w:szCs w:val="28"/>
        </w:rPr>
        <w:t>2.</w:t>
      </w:r>
      <w:r w:rsidR="00FA3819" w:rsidRPr="00FA3819">
        <w:rPr>
          <w:rFonts w:ascii="Arial" w:hAnsi="Arial"/>
          <w:b/>
          <w:bCs/>
          <w:color w:val="000000"/>
          <w:sz w:val="28"/>
          <w:szCs w:val="28"/>
        </w:rPr>
        <w:t>3</w:t>
      </w:r>
      <w:r w:rsidRPr="00FA3819">
        <w:rPr>
          <w:rFonts w:ascii="Arial" w:hAnsi="Arial"/>
          <w:b/>
          <w:bCs/>
          <w:color w:val="000000"/>
          <w:sz w:val="28"/>
          <w:szCs w:val="28"/>
        </w:rPr>
        <w:t xml:space="preserve">. </w:t>
      </w:r>
      <w:r w:rsidRPr="00FA3819">
        <w:rPr>
          <w:rFonts w:ascii="Arial" w:hAnsi="Arial"/>
          <w:b/>
          <w:color w:val="000000"/>
          <w:sz w:val="28"/>
          <w:szCs w:val="28"/>
        </w:rPr>
        <w:t xml:space="preserve">Se </w:t>
      </w:r>
      <w:r w:rsidR="00FA3819" w:rsidRPr="00FA3819">
        <w:rPr>
          <w:rFonts w:ascii="Arial" w:hAnsi="Arial"/>
          <w:b/>
          <w:color w:val="000000"/>
          <w:sz w:val="28"/>
          <w:szCs w:val="28"/>
        </w:rPr>
        <w:t xml:space="preserve">propone </w:t>
      </w:r>
      <w:r w:rsidRPr="00FA3819">
        <w:rPr>
          <w:rFonts w:ascii="Arial" w:hAnsi="Arial"/>
          <w:b/>
          <w:color w:val="000000"/>
          <w:sz w:val="28"/>
          <w:szCs w:val="28"/>
        </w:rPr>
        <w:t>modifica</w:t>
      </w:r>
      <w:r w:rsidR="00FA3819" w:rsidRPr="00FA3819">
        <w:rPr>
          <w:rFonts w:ascii="Arial" w:hAnsi="Arial"/>
          <w:b/>
          <w:color w:val="000000"/>
          <w:sz w:val="28"/>
          <w:szCs w:val="28"/>
        </w:rPr>
        <w:t>r el último párrafo d</w:t>
      </w:r>
      <w:r w:rsidRPr="00FA3819">
        <w:rPr>
          <w:rFonts w:ascii="Arial" w:hAnsi="Arial"/>
          <w:b/>
          <w:color w:val="000000"/>
          <w:sz w:val="28"/>
          <w:szCs w:val="28"/>
        </w:rPr>
        <w:t xml:space="preserve">el </w:t>
      </w:r>
      <w:r w:rsidR="00EE215B" w:rsidRPr="00FA3819">
        <w:rPr>
          <w:rFonts w:ascii="Arial" w:hAnsi="Arial"/>
          <w:b/>
          <w:color w:val="000000"/>
          <w:sz w:val="28"/>
          <w:szCs w:val="28"/>
        </w:rPr>
        <w:t xml:space="preserve">subapartado 6º del </w:t>
      </w:r>
      <w:r w:rsidRPr="00FA3819">
        <w:rPr>
          <w:rFonts w:ascii="Arial" w:hAnsi="Arial"/>
          <w:b/>
          <w:color w:val="000000"/>
          <w:sz w:val="28"/>
          <w:szCs w:val="28"/>
        </w:rPr>
        <w:t>artículo 540.4.c), que queda como sigue:</w:t>
      </w:r>
    </w:p>
    <w:p w14:paraId="57124345" w14:textId="77777777" w:rsidR="00FA3819" w:rsidRPr="00FA3819" w:rsidRDefault="00FA3819" w:rsidP="0067294D">
      <w:pPr>
        <w:ind w:left="284" w:right="284"/>
        <w:jc w:val="both"/>
        <w:rPr>
          <w:rFonts w:ascii="Arial" w:hAnsi="Arial"/>
          <w:sz w:val="28"/>
          <w:szCs w:val="28"/>
        </w:rPr>
      </w:pPr>
    </w:p>
    <w:p w14:paraId="72AB8F65" w14:textId="77777777" w:rsidR="00FA3819" w:rsidRDefault="00EE215B" w:rsidP="0067294D">
      <w:pPr>
        <w:ind w:left="284" w:right="284"/>
        <w:jc w:val="both"/>
        <w:rPr>
          <w:rFonts w:ascii="Arial" w:hAnsi="Arial"/>
          <w:sz w:val="28"/>
          <w:szCs w:val="28"/>
        </w:rPr>
      </w:pPr>
      <w:r w:rsidRPr="00FA3819">
        <w:rPr>
          <w:rFonts w:ascii="Arial" w:hAnsi="Arial"/>
          <w:sz w:val="28"/>
          <w:szCs w:val="28"/>
        </w:rPr>
        <w:t xml:space="preserve">« </w:t>
      </w:r>
      <w:r w:rsidR="00FA3819" w:rsidRPr="00FA3819">
        <w:rPr>
          <w:rFonts w:ascii="Arial" w:hAnsi="Arial"/>
          <w:sz w:val="28"/>
          <w:szCs w:val="28"/>
        </w:rPr>
        <w:t>(…)</w:t>
      </w:r>
    </w:p>
    <w:p w14:paraId="3AA91405" w14:textId="77777777" w:rsidR="008B0282" w:rsidRPr="00FA3819" w:rsidRDefault="008B0282" w:rsidP="0067294D">
      <w:pPr>
        <w:ind w:left="284" w:right="284"/>
        <w:jc w:val="both"/>
        <w:rPr>
          <w:rFonts w:ascii="Arial" w:hAnsi="Arial"/>
          <w:sz w:val="28"/>
          <w:szCs w:val="28"/>
        </w:rPr>
      </w:pPr>
    </w:p>
    <w:p w14:paraId="1DE81560" w14:textId="77777777" w:rsidR="00B536E6" w:rsidRDefault="00EE215B" w:rsidP="00B536E6">
      <w:pPr>
        <w:ind w:left="284" w:right="284"/>
        <w:jc w:val="both"/>
        <w:rPr>
          <w:rFonts w:ascii="Arial" w:hAnsi="Arial"/>
          <w:sz w:val="28"/>
          <w:szCs w:val="28"/>
        </w:rPr>
      </w:pPr>
      <w:r w:rsidRPr="00FA3819">
        <w:rPr>
          <w:rFonts w:ascii="Arial" w:hAnsi="Arial"/>
          <w:sz w:val="28"/>
          <w:szCs w:val="28"/>
        </w:rPr>
        <w:t>Las entidades pequeñas y medianas, de acuerdo con la definición contenida en la legislación de auditoría de cuentas, únicamente estarán obligadas a proporcionar información sobre las medidas que, en su caso, se hubiesen adoptado en materia de género</w:t>
      </w:r>
      <w:r w:rsidR="00803863" w:rsidRPr="00FA3819">
        <w:rPr>
          <w:rFonts w:ascii="Arial" w:hAnsi="Arial"/>
          <w:sz w:val="28"/>
          <w:szCs w:val="28"/>
        </w:rPr>
        <w:t xml:space="preserve"> </w:t>
      </w:r>
      <w:r w:rsidR="00803863" w:rsidRPr="00FA3819">
        <w:rPr>
          <w:rFonts w:ascii="Arial" w:hAnsi="Arial"/>
          <w:b/>
          <w:color w:val="FF0000"/>
          <w:sz w:val="28"/>
          <w:szCs w:val="28"/>
          <w:u w:val="single"/>
        </w:rPr>
        <w:t>y de discapacidad</w:t>
      </w:r>
      <w:r w:rsidRPr="00FA3819">
        <w:rPr>
          <w:rFonts w:ascii="Arial" w:hAnsi="Arial"/>
          <w:sz w:val="28"/>
          <w:szCs w:val="28"/>
        </w:rPr>
        <w:t>.»</w:t>
      </w:r>
    </w:p>
    <w:p w14:paraId="036519E8" w14:textId="6F522355" w:rsidR="00B536E6" w:rsidRDefault="00B536E6" w:rsidP="00B536E6">
      <w:pPr>
        <w:ind w:left="284" w:right="284"/>
        <w:jc w:val="both"/>
        <w:rPr>
          <w:rFonts w:ascii="Arial" w:hAnsi="Arial"/>
          <w:b/>
          <w:sz w:val="28"/>
          <w:szCs w:val="28"/>
          <w:u w:val="single"/>
        </w:rPr>
      </w:pPr>
      <w:r w:rsidRPr="00B536E6">
        <w:rPr>
          <w:rFonts w:ascii="Arial" w:hAnsi="Arial"/>
          <w:b/>
          <w:sz w:val="28"/>
          <w:szCs w:val="28"/>
          <w:u w:val="single"/>
        </w:rPr>
        <w:lastRenderedPageBreak/>
        <w:t>JUSTIFICACIÓN DE LA</w:t>
      </w:r>
      <w:bookmarkStart w:id="0" w:name="_GoBack"/>
      <w:bookmarkEnd w:id="0"/>
      <w:r w:rsidRPr="00B536E6">
        <w:rPr>
          <w:rFonts w:ascii="Arial" w:hAnsi="Arial"/>
          <w:b/>
          <w:sz w:val="28"/>
          <w:szCs w:val="28"/>
          <w:u w:val="single"/>
        </w:rPr>
        <w:t>S PROPUESTAS DE ENMIENDAS</w:t>
      </w:r>
    </w:p>
    <w:p w14:paraId="21AD3934" w14:textId="77777777" w:rsidR="00B536E6" w:rsidRDefault="00B536E6" w:rsidP="00B536E6">
      <w:pPr>
        <w:ind w:left="284" w:right="284"/>
        <w:jc w:val="both"/>
        <w:rPr>
          <w:rFonts w:ascii="Arial" w:hAnsi="Arial"/>
          <w:b/>
          <w:sz w:val="28"/>
          <w:szCs w:val="28"/>
          <w:u w:val="single"/>
        </w:rPr>
      </w:pPr>
    </w:p>
    <w:p w14:paraId="5444D827" w14:textId="7FE6C73F" w:rsidR="00B536E6" w:rsidRPr="00B536E6" w:rsidRDefault="00B536E6" w:rsidP="00B536E6">
      <w:pPr>
        <w:ind w:left="284" w:right="284"/>
        <w:jc w:val="both"/>
        <w:rPr>
          <w:rFonts w:ascii="Arial" w:hAnsi="Arial"/>
          <w:sz w:val="28"/>
          <w:szCs w:val="28"/>
        </w:rPr>
      </w:pPr>
      <w:r w:rsidRPr="00B536E6">
        <w:rPr>
          <w:rFonts w:ascii="Arial" w:hAnsi="Arial"/>
          <w:sz w:val="28"/>
          <w:szCs w:val="28"/>
        </w:rPr>
        <w:t>Se proponen enmiendas en</w:t>
      </w:r>
      <w:r>
        <w:rPr>
          <w:rFonts w:ascii="Arial" w:hAnsi="Arial"/>
          <w:sz w:val="28"/>
          <w:szCs w:val="28"/>
        </w:rPr>
        <w:t xml:space="preserve"> dos de las tres Leyes que se reforman</w:t>
      </w:r>
      <w:r w:rsidRPr="00B536E6">
        <w:rPr>
          <w:rFonts w:ascii="Arial" w:hAnsi="Arial"/>
          <w:sz w:val="28"/>
          <w:szCs w:val="28"/>
        </w:rPr>
        <w:t xml:space="preserve">, </w:t>
      </w:r>
      <w:r>
        <w:rPr>
          <w:rFonts w:ascii="Arial" w:hAnsi="Arial"/>
          <w:sz w:val="28"/>
          <w:szCs w:val="28"/>
        </w:rPr>
        <w:t xml:space="preserve">a saber, </w:t>
      </w:r>
      <w:r w:rsidRPr="00B536E6">
        <w:rPr>
          <w:rFonts w:ascii="Arial" w:hAnsi="Arial"/>
          <w:sz w:val="28"/>
          <w:szCs w:val="28"/>
        </w:rPr>
        <w:t>en el Código de Comercio y en la Ley de Sociedades de Capital.</w:t>
      </w:r>
    </w:p>
    <w:p w14:paraId="70253206" w14:textId="77777777" w:rsidR="00B536E6" w:rsidRPr="00B536E6" w:rsidRDefault="00B536E6" w:rsidP="00B536E6">
      <w:pPr>
        <w:ind w:left="284" w:right="284"/>
        <w:jc w:val="both"/>
        <w:rPr>
          <w:rFonts w:ascii="Arial" w:hAnsi="Arial"/>
          <w:sz w:val="28"/>
          <w:szCs w:val="28"/>
        </w:rPr>
      </w:pPr>
    </w:p>
    <w:p w14:paraId="5DFCF28F" w14:textId="0AB92B86" w:rsidR="00B536E6" w:rsidRPr="00B536E6" w:rsidRDefault="00B536E6" w:rsidP="00B536E6">
      <w:pPr>
        <w:ind w:left="284" w:right="284"/>
        <w:jc w:val="both"/>
        <w:rPr>
          <w:rFonts w:ascii="Arial" w:hAnsi="Arial"/>
          <w:sz w:val="28"/>
          <w:szCs w:val="28"/>
        </w:rPr>
      </w:pPr>
      <w:r w:rsidRPr="00B536E6">
        <w:rPr>
          <w:rFonts w:ascii="Arial" w:hAnsi="Arial"/>
          <w:sz w:val="28"/>
          <w:szCs w:val="28"/>
        </w:rPr>
        <w:t>Se sugiere reforzar las menciones a las personas con discapacidad y a la igualdad y no discriminación en los estados de información no financiera consolidados y en los informes de gestión, regulados en ambas Leyes. Se incluye también una mención a la accesibilidad universal, en alineamiento con la Orden ESS/1554/2016, de 29 de septiembre de 2016, por la que se regula el procedimiento para el registro y publicación de las memorias de responsabilidad social y de sos</w:t>
      </w:r>
      <w:r>
        <w:rPr>
          <w:rFonts w:ascii="Arial" w:hAnsi="Arial"/>
          <w:sz w:val="28"/>
          <w:szCs w:val="28"/>
        </w:rPr>
        <w:t>tenibilidad, que incluye en el a</w:t>
      </w:r>
      <w:r w:rsidRPr="00B536E6">
        <w:rPr>
          <w:rFonts w:ascii="Arial" w:hAnsi="Arial"/>
          <w:sz w:val="28"/>
          <w:szCs w:val="28"/>
        </w:rPr>
        <w:t>rtículo 3, apartado 2 a las “políticas de accesibilidad universal” entre los ámbitos de información posibles a incluir por dichas memorias.</w:t>
      </w:r>
    </w:p>
    <w:p w14:paraId="4BF244D2" w14:textId="77777777" w:rsidR="00B536E6" w:rsidRPr="00B536E6" w:rsidRDefault="00B536E6" w:rsidP="00B536E6">
      <w:pPr>
        <w:ind w:left="284" w:right="284"/>
        <w:jc w:val="both"/>
        <w:rPr>
          <w:rFonts w:ascii="Arial" w:hAnsi="Arial"/>
          <w:sz w:val="28"/>
          <w:szCs w:val="28"/>
        </w:rPr>
      </w:pPr>
    </w:p>
    <w:p w14:paraId="6478EAE9" w14:textId="709CF657" w:rsidR="00B536E6" w:rsidRDefault="00B536E6" w:rsidP="00B536E6">
      <w:pPr>
        <w:ind w:left="284" w:right="284"/>
        <w:jc w:val="both"/>
        <w:rPr>
          <w:rFonts w:ascii="Arial" w:hAnsi="Arial"/>
          <w:sz w:val="28"/>
          <w:szCs w:val="28"/>
        </w:rPr>
      </w:pPr>
      <w:r>
        <w:rPr>
          <w:rFonts w:ascii="Arial" w:hAnsi="Arial"/>
          <w:sz w:val="28"/>
          <w:szCs w:val="28"/>
        </w:rPr>
        <w:t>Asi</w:t>
      </w:r>
      <w:r w:rsidRPr="00B536E6">
        <w:rPr>
          <w:rFonts w:ascii="Arial" w:hAnsi="Arial"/>
          <w:sz w:val="28"/>
          <w:szCs w:val="28"/>
        </w:rPr>
        <w:t xml:space="preserve">mismo, se propone asegurar que los accionistas con discapacidad o de edad </w:t>
      </w:r>
      <w:r>
        <w:rPr>
          <w:rFonts w:ascii="Arial" w:hAnsi="Arial"/>
          <w:sz w:val="28"/>
          <w:szCs w:val="28"/>
        </w:rPr>
        <w:t xml:space="preserve">avanzada </w:t>
      </w:r>
      <w:r w:rsidRPr="00B536E6">
        <w:rPr>
          <w:rFonts w:ascii="Arial" w:hAnsi="Arial"/>
          <w:sz w:val="28"/>
          <w:szCs w:val="28"/>
        </w:rPr>
        <w:t>puedan participar en las Juntas y en los Consejos de Administración de las sociedades cotizadas, eliminándose barreras físicas o de comunicación que impidan el ejercicio de sus derechos sociales.</w:t>
      </w:r>
    </w:p>
    <w:p w14:paraId="0DD8E3DC" w14:textId="77777777" w:rsidR="00B536E6" w:rsidRDefault="00B536E6" w:rsidP="00FA3819">
      <w:pPr>
        <w:ind w:left="284" w:right="284"/>
        <w:jc w:val="right"/>
        <w:rPr>
          <w:rFonts w:ascii="Arial" w:hAnsi="Arial"/>
          <w:sz w:val="28"/>
          <w:szCs w:val="28"/>
        </w:rPr>
      </w:pPr>
    </w:p>
    <w:p w14:paraId="666D8FC8" w14:textId="370F63EA" w:rsidR="00803863" w:rsidRPr="00FA3819" w:rsidRDefault="00803863" w:rsidP="00FA3819">
      <w:pPr>
        <w:ind w:left="284" w:right="284"/>
        <w:jc w:val="right"/>
        <w:rPr>
          <w:rFonts w:ascii="Arial" w:hAnsi="Arial"/>
          <w:sz w:val="28"/>
          <w:szCs w:val="28"/>
        </w:rPr>
      </w:pPr>
      <w:r w:rsidRPr="00FA3819">
        <w:rPr>
          <w:rFonts w:ascii="Arial" w:hAnsi="Arial"/>
          <w:sz w:val="28"/>
          <w:szCs w:val="28"/>
        </w:rPr>
        <w:tab/>
      </w:r>
      <w:r w:rsidR="00FA3819" w:rsidRPr="00FA3819">
        <w:rPr>
          <w:rFonts w:ascii="Arial" w:hAnsi="Arial"/>
          <w:sz w:val="28"/>
          <w:szCs w:val="28"/>
        </w:rPr>
        <w:t xml:space="preserve">2 de noviembre </w:t>
      </w:r>
      <w:r w:rsidRPr="00FA3819">
        <w:rPr>
          <w:rFonts w:ascii="Arial" w:hAnsi="Arial"/>
          <w:sz w:val="28"/>
          <w:szCs w:val="28"/>
        </w:rPr>
        <w:t>de 2018</w:t>
      </w:r>
      <w:r w:rsidR="00FA3819" w:rsidRPr="00FA3819">
        <w:rPr>
          <w:rFonts w:ascii="Arial" w:hAnsi="Arial"/>
          <w:sz w:val="28"/>
          <w:szCs w:val="28"/>
        </w:rPr>
        <w:t>.</w:t>
      </w:r>
    </w:p>
    <w:p w14:paraId="1431E9D7" w14:textId="77777777" w:rsidR="00FA3819" w:rsidRPr="00FA3819" w:rsidRDefault="00FA3819" w:rsidP="00FA3819">
      <w:pPr>
        <w:ind w:left="284" w:right="284"/>
        <w:jc w:val="right"/>
        <w:rPr>
          <w:rFonts w:ascii="Arial" w:hAnsi="Arial"/>
          <w:sz w:val="28"/>
          <w:szCs w:val="28"/>
        </w:rPr>
      </w:pPr>
    </w:p>
    <w:p w14:paraId="59E48C16" w14:textId="77777777" w:rsidR="00FA3819" w:rsidRPr="00FA3819" w:rsidRDefault="00FA3819" w:rsidP="00FA3819">
      <w:pPr>
        <w:ind w:left="284" w:right="284"/>
        <w:jc w:val="center"/>
        <w:rPr>
          <w:rFonts w:ascii="Arial" w:hAnsi="Arial"/>
          <w:b/>
          <w:sz w:val="28"/>
          <w:szCs w:val="28"/>
        </w:rPr>
      </w:pPr>
      <w:r w:rsidRPr="00FA3819">
        <w:rPr>
          <w:rFonts w:ascii="Arial" w:hAnsi="Arial"/>
          <w:b/>
          <w:sz w:val="28"/>
          <w:szCs w:val="28"/>
        </w:rPr>
        <w:t>CERMI</w:t>
      </w:r>
    </w:p>
    <w:p w14:paraId="2FDEFD90" w14:textId="77777777" w:rsidR="00FA3819" w:rsidRPr="00FA3819" w:rsidRDefault="00FA3819" w:rsidP="00FA3819">
      <w:pPr>
        <w:ind w:left="284" w:right="284"/>
        <w:jc w:val="center"/>
        <w:rPr>
          <w:rFonts w:ascii="Arial" w:hAnsi="Arial"/>
          <w:b/>
          <w:sz w:val="28"/>
          <w:szCs w:val="28"/>
        </w:rPr>
      </w:pPr>
      <w:hyperlink r:id="rId10" w:history="1">
        <w:r w:rsidRPr="00FA3819">
          <w:rPr>
            <w:rStyle w:val="Hipervnculo"/>
            <w:rFonts w:ascii="Arial" w:hAnsi="Arial"/>
            <w:b/>
            <w:sz w:val="28"/>
            <w:szCs w:val="28"/>
          </w:rPr>
          <w:t>www.cermi.es</w:t>
        </w:r>
      </w:hyperlink>
    </w:p>
    <w:p w14:paraId="18B2416D" w14:textId="77777777" w:rsidR="00FA3819" w:rsidRPr="00FA3819" w:rsidRDefault="00FA3819" w:rsidP="00FA3819">
      <w:pPr>
        <w:ind w:left="284" w:right="284"/>
        <w:jc w:val="right"/>
        <w:rPr>
          <w:rFonts w:ascii="Arial" w:hAnsi="Arial"/>
          <w:sz w:val="28"/>
          <w:szCs w:val="28"/>
        </w:rPr>
      </w:pPr>
    </w:p>
    <w:sectPr w:rsidR="00FA3819" w:rsidRPr="00FA3819">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478E8" w14:textId="77777777" w:rsidR="00FA3819" w:rsidRDefault="00FA3819" w:rsidP="00C41915">
      <w:r>
        <w:separator/>
      </w:r>
    </w:p>
  </w:endnote>
  <w:endnote w:type="continuationSeparator" w:id="0">
    <w:p w14:paraId="4CE168D9" w14:textId="77777777" w:rsidR="00FA3819" w:rsidRDefault="00FA3819" w:rsidP="00C4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C931" w14:textId="77777777" w:rsidR="008B0282" w:rsidRDefault="008B0282" w:rsidP="00143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6C67CC" w14:textId="77777777" w:rsidR="00FA3819" w:rsidRDefault="00FA3819" w:rsidP="008B028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0BFC9" w14:textId="77777777" w:rsidR="008B0282" w:rsidRDefault="008B0282" w:rsidP="00143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36E6">
      <w:rPr>
        <w:rStyle w:val="Nmerodepgina"/>
        <w:noProof/>
      </w:rPr>
      <w:t>3</w:t>
    </w:r>
    <w:r>
      <w:rPr>
        <w:rStyle w:val="Nmerodepgina"/>
      </w:rPr>
      <w:fldChar w:fldCharType="end"/>
    </w:r>
  </w:p>
  <w:p w14:paraId="1DFA5BDC" w14:textId="77777777" w:rsidR="00FA3819" w:rsidRDefault="00FA3819" w:rsidP="008B028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18C90" w14:textId="77777777" w:rsidR="00FA3819" w:rsidRDefault="00FA3819" w:rsidP="00C41915">
      <w:r>
        <w:separator/>
      </w:r>
    </w:p>
  </w:footnote>
  <w:footnote w:type="continuationSeparator" w:id="0">
    <w:p w14:paraId="52217D3E" w14:textId="77777777" w:rsidR="00FA3819" w:rsidRDefault="00FA3819" w:rsidP="00C419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F6569"/>
    <w:multiLevelType w:val="hybridMultilevel"/>
    <w:tmpl w:val="7F18365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32"/>
    <w:rsid w:val="0022727A"/>
    <w:rsid w:val="002532E9"/>
    <w:rsid w:val="002F698D"/>
    <w:rsid w:val="002F75CF"/>
    <w:rsid w:val="0067294D"/>
    <w:rsid w:val="007B6337"/>
    <w:rsid w:val="00803863"/>
    <w:rsid w:val="008B0282"/>
    <w:rsid w:val="008F6F82"/>
    <w:rsid w:val="00B1458B"/>
    <w:rsid w:val="00B536E6"/>
    <w:rsid w:val="00C41915"/>
    <w:rsid w:val="00E1763D"/>
    <w:rsid w:val="00EE215B"/>
    <w:rsid w:val="00F52A32"/>
    <w:rsid w:val="00F97054"/>
    <w:rsid w:val="00FA38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7C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94D"/>
    <w:pPr>
      <w:ind w:left="720"/>
      <w:contextualSpacing/>
    </w:pPr>
  </w:style>
  <w:style w:type="paragraph" w:styleId="Encabezado">
    <w:name w:val="header"/>
    <w:basedOn w:val="Normal"/>
    <w:link w:val="EncabezadoCar"/>
    <w:uiPriority w:val="99"/>
    <w:unhideWhenUsed/>
    <w:rsid w:val="00C41915"/>
    <w:pPr>
      <w:tabs>
        <w:tab w:val="center" w:pos="4252"/>
        <w:tab w:val="right" w:pos="8504"/>
      </w:tabs>
    </w:pPr>
  </w:style>
  <w:style w:type="character" w:customStyle="1" w:styleId="EncabezadoCar">
    <w:name w:val="Encabezado Car"/>
    <w:basedOn w:val="Fuentedeprrafopredeter"/>
    <w:link w:val="Encabezado"/>
    <w:uiPriority w:val="99"/>
    <w:rsid w:val="00C419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41915"/>
    <w:pPr>
      <w:tabs>
        <w:tab w:val="center" w:pos="4252"/>
        <w:tab w:val="right" w:pos="8504"/>
      </w:tabs>
    </w:pPr>
  </w:style>
  <w:style w:type="character" w:customStyle="1" w:styleId="PiedepginaCar">
    <w:name w:val="Pie de página Car"/>
    <w:basedOn w:val="Fuentedeprrafopredeter"/>
    <w:link w:val="Piedepgina"/>
    <w:uiPriority w:val="99"/>
    <w:rsid w:val="00C41915"/>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A3819"/>
    <w:rPr>
      <w:color w:val="0563C1" w:themeColor="hyperlink"/>
      <w:u w:val="single"/>
    </w:rPr>
  </w:style>
  <w:style w:type="paragraph" w:styleId="Textodeglobo">
    <w:name w:val="Balloon Text"/>
    <w:basedOn w:val="Normal"/>
    <w:link w:val="TextodegloboCar"/>
    <w:uiPriority w:val="99"/>
    <w:semiHidden/>
    <w:unhideWhenUsed/>
    <w:rsid w:val="007B633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B6337"/>
    <w:rPr>
      <w:rFonts w:ascii="Lucida Grande" w:eastAsia="Times New Roman" w:hAnsi="Lucida Grande" w:cs="Lucida Grande"/>
      <w:sz w:val="18"/>
      <w:szCs w:val="18"/>
      <w:lang w:eastAsia="es-ES"/>
    </w:rPr>
  </w:style>
  <w:style w:type="character" w:styleId="Nmerodepgina">
    <w:name w:val="page number"/>
    <w:basedOn w:val="Fuentedeprrafopredeter"/>
    <w:uiPriority w:val="99"/>
    <w:semiHidden/>
    <w:unhideWhenUsed/>
    <w:rsid w:val="008B02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94D"/>
    <w:pPr>
      <w:ind w:left="720"/>
      <w:contextualSpacing/>
    </w:pPr>
  </w:style>
  <w:style w:type="paragraph" w:styleId="Encabezado">
    <w:name w:val="header"/>
    <w:basedOn w:val="Normal"/>
    <w:link w:val="EncabezadoCar"/>
    <w:uiPriority w:val="99"/>
    <w:unhideWhenUsed/>
    <w:rsid w:val="00C41915"/>
    <w:pPr>
      <w:tabs>
        <w:tab w:val="center" w:pos="4252"/>
        <w:tab w:val="right" w:pos="8504"/>
      </w:tabs>
    </w:pPr>
  </w:style>
  <w:style w:type="character" w:customStyle="1" w:styleId="EncabezadoCar">
    <w:name w:val="Encabezado Car"/>
    <w:basedOn w:val="Fuentedeprrafopredeter"/>
    <w:link w:val="Encabezado"/>
    <w:uiPriority w:val="99"/>
    <w:rsid w:val="00C419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41915"/>
    <w:pPr>
      <w:tabs>
        <w:tab w:val="center" w:pos="4252"/>
        <w:tab w:val="right" w:pos="8504"/>
      </w:tabs>
    </w:pPr>
  </w:style>
  <w:style w:type="character" w:customStyle="1" w:styleId="PiedepginaCar">
    <w:name w:val="Pie de página Car"/>
    <w:basedOn w:val="Fuentedeprrafopredeter"/>
    <w:link w:val="Piedepgina"/>
    <w:uiPriority w:val="99"/>
    <w:rsid w:val="00C41915"/>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A3819"/>
    <w:rPr>
      <w:color w:val="0563C1" w:themeColor="hyperlink"/>
      <w:u w:val="single"/>
    </w:rPr>
  </w:style>
  <w:style w:type="paragraph" w:styleId="Textodeglobo">
    <w:name w:val="Balloon Text"/>
    <w:basedOn w:val="Normal"/>
    <w:link w:val="TextodegloboCar"/>
    <w:uiPriority w:val="99"/>
    <w:semiHidden/>
    <w:unhideWhenUsed/>
    <w:rsid w:val="007B633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B6337"/>
    <w:rPr>
      <w:rFonts w:ascii="Lucida Grande" w:eastAsia="Times New Roman" w:hAnsi="Lucida Grande" w:cs="Lucida Grande"/>
      <w:sz w:val="18"/>
      <w:szCs w:val="18"/>
      <w:lang w:eastAsia="es-ES"/>
    </w:rPr>
  </w:style>
  <w:style w:type="character" w:styleId="Nmerodepgina">
    <w:name w:val="page number"/>
    <w:basedOn w:val="Fuentedeprrafopredeter"/>
    <w:uiPriority w:val="99"/>
    <w:semiHidden/>
    <w:unhideWhenUsed/>
    <w:rsid w:val="008B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1118-98C2-5D42-A4A2-7CF2282A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3753</Characters>
  <Application>Microsoft Macintosh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2018-11-03T09:25:00Z</dcterms:created>
  <dcterms:modified xsi:type="dcterms:W3CDTF">2018-11-03T09:29:00Z</dcterms:modified>
</cp:coreProperties>
</file>