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DB05E" w14:textId="77777777" w:rsidR="00734401" w:rsidRDefault="00734401" w:rsidP="006064E2">
      <w:pPr>
        <w:pBdr>
          <w:bottom w:val="single" w:sz="12" w:space="1" w:color="auto"/>
        </w:pBdr>
        <w:jc w:val="both"/>
        <w:rPr>
          <w:rFonts w:ascii="Times New Roman" w:hAnsi="Times New Roman" w:cs="Times New Roman"/>
          <w:b/>
          <w:sz w:val="24"/>
          <w:szCs w:val="24"/>
        </w:rPr>
      </w:pPr>
      <w:r>
        <w:rPr>
          <w:rFonts w:ascii="Helvetica" w:hAnsi="Helvetica" w:cs="Helvetica"/>
          <w:noProof/>
          <w:sz w:val="24"/>
          <w:szCs w:val="24"/>
          <w:lang w:eastAsia="es-ES"/>
        </w:rPr>
        <w:drawing>
          <wp:inline distT="0" distB="0" distL="0" distR="0" wp14:anchorId="3202326F" wp14:editId="195593F5">
            <wp:extent cx="1370281" cy="910730"/>
            <wp:effectExtent l="0" t="0" r="190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0281" cy="910730"/>
                    </a:xfrm>
                    <a:prstGeom prst="rect">
                      <a:avLst/>
                    </a:prstGeom>
                    <a:noFill/>
                    <a:ln>
                      <a:noFill/>
                    </a:ln>
                  </pic:spPr>
                </pic:pic>
              </a:graphicData>
            </a:graphic>
          </wp:inline>
        </w:drawing>
      </w:r>
      <w:r>
        <w:rPr>
          <w:rFonts w:ascii="Times New Roman" w:hAnsi="Times New Roman" w:cs="Times New Roman"/>
          <w:b/>
          <w:sz w:val="24"/>
          <w:szCs w:val="24"/>
        </w:rPr>
        <w:t xml:space="preserve">                                            </w:t>
      </w:r>
      <w:r>
        <w:rPr>
          <w:noProof/>
          <w:lang w:eastAsia="es-ES"/>
        </w:rPr>
        <w:drawing>
          <wp:inline distT="0" distB="0" distL="0" distR="0" wp14:anchorId="0319EA5C" wp14:editId="1440826C">
            <wp:extent cx="2284681" cy="934091"/>
            <wp:effectExtent l="0" t="0" r="1905" b="5715"/>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esmayo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7743" cy="935343"/>
                    </a:xfrm>
                    <a:prstGeom prst="rect">
                      <a:avLst/>
                    </a:prstGeom>
                  </pic:spPr>
                </pic:pic>
              </a:graphicData>
            </a:graphic>
          </wp:inline>
        </w:drawing>
      </w:r>
    </w:p>
    <w:p w14:paraId="1F83DEF1" w14:textId="77777777" w:rsidR="007F5A93" w:rsidRDefault="00D14306" w:rsidP="006064E2">
      <w:pPr>
        <w:pBdr>
          <w:bottom w:val="single" w:sz="12" w:space="1" w:color="auto"/>
        </w:pBdr>
        <w:jc w:val="both"/>
        <w:rPr>
          <w:rFonts w:ascii="Times New Roman" w:hAnsi="Times New Roman" w:cs="Times New Roman"/>
          <w:b/>
          <w:sz w:val="24"/>
          <w:szCs w:val="24"/>
        </w:rPr>
      </w:pPr>
      <w:r w:rsidRPr="006064E2">
        <w:rPr>
          <w:rFonts w:ascii="Times New Roman" w:hAnsi="Times New Roman" w:cs="Times New Roman"/>
          <w:b/>
          <w:sz w:val="24"/>
          <w:szCs w:val="24"/>
        </w:rPr>
        <w:t>PROPUESTA DE</w:t>
      </w:r>
      <w:r w:rsidR="00734401">
        <w:rPr>
          <w:rFonts w:ascii="Times New Roman" w:hAnsi="Times New Roman" w:cs="Times New Roman"/>
          <w:b/>
          <w:sz w:val="24"/>
          <w:szCs w:val="24"/>
        </w:rPr>
        <w:t xml:space="preserve">L CERMI DE MODIFICACIÓN </w:t>
      </w:r>
      <w:r w:rsidRPr="006064E2">
        <w:rPr>
          <w:rFonts w:ascii="Times New Roman" w:hAnsi="Times New Roman" w:cs="Times New Roman"/>
          <w:b/>
          <w:sz w:val="24"/>
          <w:szCs w:val="24"/>
        </w:rPr>
        <w:t>DEL ARTÍCULO 52 D) DEL ESTATUTO DE LOS TRABAJADORES</w:t>
      </w:r>
      <w:r w:rsidR="00734401">
        <w:rPr>
          <w:rFonts w:ascii="Times New Roman" w:hAnsi="Times New Roman" w:cs="Times New Roman"/>
          <w:b/>
          <w:sz w:val="24"/>
          <w:szCs w:val="24"/>
        </w:rPr>
        <w:t xml:space="preserve"> PARA REGULAR ADECUADAMENTE LOS DERECHOS DE LAS PERSONAS CON DISCAPACIDAD </w:t>
      </w:r>
      <w:r w:rsidR="006A6606">
        <w:rPr>
          <w:rFonts w:ascii="Times New Roman" w:hAnsi="Times New Roman" w:cs="Times New Roman"/>
          <w:b/>
          <w:sz w:val="24"/>
          <w:szCs w:val="24"/>
        </w:rPr>
        <w:t>EN LA EXTINCIÓN DEL CONTRATO DE TRABAJO POR CAUSAS OBJETIVAS (FALTA DE ASISTENCIA)</w:t>
      </w:r>
    </w:p>
    <w:p w14:paraId="210C8065" w14:textId="77777777" w:rsidR="00734401" w:rsidRPr="006064E2" w:rsidRDefault="00734401" w:rsidP="006064E2">
      <w:pPr>
        <w:jc w:val="both"/>
        <w:rPr>
          <w:rFonts w:ascii="Times New Roman" w:hAnsi="Times New Roman" w:cs="Times New Roman"/>
          <w:b/>
          <w:sz w:val="24"/>
          <w:szCs w:val="24"/>
        </w:rPr>
      </w:pPr>
      <w:r>
        <w:rPr>
          <w:rFonts w:ascii="Times New Roman" w:hAnsi="Times New Roman" w:cs="Times New Roman"/>
          <w:b/>
          <w:sz w:val="24"/>
          <w:szCs w:val="24"/>
        </w:rPr>
        <w:t>FUNDAMENTACIÓN</w:t>
      </w:r>
    </w:p>
    <w:p w14:paraId="77A6690C" w14:textId="77777777" w:rsidR="00D14306" w:rsidRPr="006064E2" w:rsidRDefault="00D14306" w:rsidP="006064E2">
      <w:pPr>
        <w:jc w:val="both"/>
        <w:rPr>
          <w:rFonts w:ascii="Times New Roman" w:hAnsi="Times New Roman" w:cs="Times New Roman"/>
          <w:sz w:val="24"/>
          <w:szCs w:val="24"/>
        </w:rPr>
      </w:pPr>
      <w:r w:rsidRPr="006064E2">
        <w:rPr>
          <w:rFonts w:ascii="Times New Roman" w:hAnsi="Times New Roman" w:cs="Times New Roman"/>
          <w:sz w:val="24"/>
          <w:szCs w:val="24"/>
        </w:rPr>
        <w:t>El artículo 52 d) del Estatuto de los Trabajadores establece lo siguiente:</w:t>
      </w:r>
    </w:p>
    <w:p w14:paraId="4618E0B4" w14:textId="77777777" w:rsidR="00D14306" w:rsidRPr="006064E2" w:rsidRDefault="00D14306" w:rsidP="006064E2">
      <w:pPr>
        <w:pStyle w:val="parrafo"/>
        <w:spacing w:before="180" w:beforeAutospacing="0" w:after="180" w:afterAutospacing="0"/>
        <w:ind w:left="284" w:right="284"/>
        <w:jc w:val="both"/>
        <w:rPr>
          <w:i/>
          <w:color w:val="333333"/>
        </w:rPr>
      </w:pPr>
      <w:r w:rsidRPr="006064E2">
        <w:rPr>
          <w:i/>
          <w:color w:val="333333"/>
        </w:rPr>
        <w:t>d) Por faltas de asistencia al trabajo, aun justificadas pero intermitentes, que alcancen el veinte por ciento de las jornadas hábiles en dos meses consecutivos siempre que el total de faltas de asistencia en los doce meses anteriores alcance el cinco por ciento de las jornadas hábiles, o el veinticinco por ciento en cuatro meses discontinuos dentro de un periodo de doce meses.</w:t>
      </w:r>
    </w:p>
    <w:p w14:paraId="4371303C" w14:textId="77777777" w:rsidR="00D14306" w:rsidRPr="006064E2" w:rsidRDefault="00D14306" w:rsidP="006064E2">
      <w:pPr>
        <w:pStyle w:val="parrafo"/>
        <w:spacing w:before="180" w:beforeAutospacing="0" w:after="180" w:afterAutospacing="0"/>
        <w:ind w:left="284" w:right="284"/>
        <w:jc w:val="both"/>
        <w:rPr>
          <w:i/>
          <w:color w:val="333333"/>
        </w:rPr>
      </w:pPr>
      <w:r w:rsidRPr="006064E2">
        <w:rPr>
          <w:i/>
          <w:color w:val="333333"/>
        </w:rPr>
        <w:t>No se computarán como faltas de asistencia, a los efectos del párrafo anterior, las ausencias debidas a huelga legal por el tiempo de duración de la misma, el ejercicio de actividades de representación legal de los trabajadores, accidente de trabajo, maternidad, riesgo durante el embarazo y la lactancia, enfermedades causadas por embarazo, parto o lactancia, paternidad, licencias y vacaciones, enfermedad o accidente no laboral cuando la baja haya sido acordada por los servicios sanitarios oficiales y tenga una duración de más de veinte días consecutivos, ni las motivadas por la situación física o psicológica derivada de violencia de género, acreditada por los servicios sociales de atención o servicios de Salud, según proceda.</w:t>
      </w:r>
    </w:p>
    <w:p w14:paraId="68543547" w14:textId="77777777" w:rsidR="00D14306" w:rsidRPr="006064E2" w:rsidRDefault="00D14306" w:rsidP="006064E2">
      <w:pPr>
        <w:pStyle w:val="parrafo"/>
        <w:spacing w:before="180" w:beforeAutospacing="0" w:after="180" w:afterAutospacing="0"/>
        <w:ind w:left="284" w:right="284"/>
        <w:jc w:val="both"/>
        <w:rPr>
          <w:i/>
          <w:color w:val="333333"/>
        </w:rPr>
      </w:pPr>
      <w:r w:rsidRPr="006064E2">
        <w:rPr>
          <w:i/>
          <w:color w:val="333333"/>
        </w:rPr>
        <w:t>Tampoco se computarán las ausencias que obedezcan a un tratamiento médico de cáncer o enfermedad grave.</w:t>
      </w:r>
    </w:p>
    <w:p w14:paraId="018CC993" w14:textId="77777777" w:rsidR="006064E2" w:rsidRDefault="00D14306" w:rsidP="006064E2">
      <w:pPr>
        <w:jc w:val="both"/>
        <w:rPr>
          <w:rFonts w:ascii="Times New Roman" w:hAnsi="Times New Roman" w:cs="Times New Roman"/>
          <w:sz w:val="24"/>
          <w:szCs w:val="24"/>
        </w:rPr>
      </w:pPr>
      <w:r w:rsidRPr="006064E2">
        <w:rPr>
          <w:rFonts w:ascii="Times New Roman" w:hAnsi="Times New Roman" w:cs="Times New Roman"/>
          <w:sz w:val="24"/>
          <w:szCs w:val="24"/>
        </w:rPr>
        <w:t xml:space="preserve">La Sentencia del </w:t>
      </w:r>
      <w:r w:rsidR="00734401">
        <w:rPr>
          <w:rFonts w:ascii="Times New Roman" w:hAnsi="Times New Roman" w:cs="Times New Roman"/>
          <w:sz w:val="24"/>
          <w:szCs w:val="24"/>
        </w:rPr>
        <w:t>Tribunal Europeo de la Unión Europea (</w:t>
      </w:r>
      <w:r w:rsidRPr="006064E2">
        <w:rPr>
          <w:rFonts w:ascii="Times New Roman" w:hAnsi="Times New Roman" w:cs="Times New Roman"/>
          <w:sz w:val="24"/>
          <w:szCs w:val="24"/>
        </w:rPr>
        <w:t>TJUE</w:t>
      </w:r>
      <w:r w:rsidR="00734401">
        <w:rPr>
          <w:rFonts w:ascii="Times New Roman" w:hAnsi="Times New Roman" w:cs="Times New Roman"/>
          <w:sz w:val="24"/>
          <w:szCs w:val="24"/>
        </w:rPr>
        <w:t>)</w:t>
      </w:r>
      <w:r w:rsidRPr="006064E2">
        <w:rPr>
          <w:rFonts w:ascii="Times New Roman" w:hAnsi="Times New Roman" w:cs="Times New Roman"/>
          <w:sz w:val="24"/>
          <w:szCs w:val="24"/>
        </w:rPr>
        <w:t xml:space="preserve"> de 18 de enero de 2018 (asunto C-270/16) falló que </w:t>
      </w:r>
      <w:r w:rsidRPr="006064E2">
        <w:rPr>
          <w:rFonts w:ascii="Times New Roman" w:hAnsi="Times New Roman" w:cs="Times New Roman"/>
          <w:b/>
          <w:i/>
          <w:sz w:val="24"/>
          <w:szCs w:val="24"/>
        </w:rPr>
        <w:t>“el artículo 2, apartado 2, letra b), inciso i), de la Directiva 2000/78/CE del Consejo, de 27 de noviembre de 2000, relativa al establecimiento de un marco general para la igualdad de trato en el empleo y la ocupación, debe interpretarse en el sentido de que se opone a una normativa nacional que permite al empresario despedir a un trabajador debido</w:t>
      </w:r>
      <w:r w:rsidR="00734401">
        <w:rPr>
          <w:rFonts w:ascii="Times New Roman" w:hAnsi="Times New Roman" w:cs="Times New Roman"/>
          <w:b/>
          <w:i/>
          <w:sz w:val="24"/>
          <w:szCs w:val="24"/>
        </w:rPr>
        <w:t xml:space="preserve"> a las faltas de asistencia de e</w:t>
      </w:r>
      <w:r w:rsidRPr="006064E2">
        <w:rPr>
          <w:rFonts w:ascii="Times New Roman" w:hAnsi="Times New Roman" w:cs="Times New Roman"/>
          <w:b/>
          <w:i/>
          <w:sz w:val="24"/>
          <w:szCs w:val="24"/>
        </w:rPr>
        <w:t>ste al trabajo, aun justificadas pero intermitentes, cuando tales ausencias</w:t>
      </w:r>
      <w:r w:rsidR="007D6903" w:rsidRPr="006064E2">
        <w:rPr>
          <w:rFonts w:ascii="Times New Roman" w:hAnsi="Times New Roman" w:cs="Times New Roman"/>
          <w:b/>
          <w:i/>
          <w:sz w:val="24"/>
          <w:szCs w:val="24"/>
        </w:rPr>
        <w:t xml:space="preserve"> </w:t>
      </w:r>
      <w:bookmarkStart w:id="0" w:name="_Hlk8062724"/>
      <w:r w:rsidR="007D6903" w:rsidRPr="006064E2">
        <w:rPr>
          <w:rFonts w:ascii="Times New Roman" w:hAnsi="Times New Roman" w:cs="Times New Roman"/>
          <w:b/>
          <w:i/>
          <w:sz w:val="24"/>
          <w:szCs w:val="24"/>
        </w:rPr>
        <w:t>sean consecuencia de enfermedades atribuibles a la discapacidad de ese trabajador</w:t>
      </w:r>
      <w:bookmarkEnd w:id="0"/>
      <w:r w:rsidRPr="006064E2">
        <w:rPr>
          <w:rFonts w:ascii="Times New Roman" w:hAnsi="Times New Roman" w:cs="Times New Roman"/>
          <w:b/>
          <w:i/>
          <w:sz w:val="24"/>
          <w:szCs w:val="24"/>
        </w:rPr>
        <w:t>, salvo que dicha normativa tenga la finalidad legítima de combatir el absentismo y no vaya más allá de lo necesario para alcanzar esa finalidad, lo cual corresponde evaluar al órgano jurisdiccional remitente”.</w:t>
      </w:r>
      <w:r w:rsidR="00941EB4" w:rsidRPr="006064E2">
        <w:rPr>
          <w:rFonts w:ascii="Times New Roman" w:hAnsi="Times New Roman" w:cs="Times New Roman"/>
          <w:sz w:val="24"/>
          <w:szCs w:val="24"/>
        </w:rPr>
        <w:t xml:space="preserve"> </w:t>
      </w:r>
    </w:p>
    <w:p w14:paraId="111DCBA5" w14:textId="77777777" w:rsidR="00941EB4" w:rsidRPr="006064E2" w:rsidRDefault="00D14306" w:rsidP="006064E2">
      <w:pPr>
        <w:jc w:val="both"/>
        <w:rPr>
          <w:rFonts w:ascii="Times New Roman" w:hAnsi="Times New Roman" w:cs="Times New Roman"/>
          <w:sz w:val="24"/>
          <w:szCs w:val="24"/>
        </w:rPr>
      </w:pPr>
      <w:r w:rsidRPr="006064E2">
        <w:rPr>
          <w:rFonts w:ascii="Times New Roman" w:hAnsi="Times New Roman" w:cs="Times New Roman"/>
          <w:sz w:val="24"/>
          <w:szCs w:val="24"/>
        </w:rPr>
        <w:t>Dicha Sentencia se dict</w:t>
      </w:r>
      <w:r w:rsidR="006064E2">
        <w:rPr>
          <w:rFonts w:ascii="Times New Roman" w:hAnsi="Times New Roman" w:cs="Times New Roman"/>
          <w:sz w:val="24"/>
          <w:szCs w:val="24"/>
        </w:rPr>
        <w:t>ó</w:t>
      </w:r>
      <w:r w:rsidRPr="006064E2">
        <w:rPr>
          <w:rFonts w:ascii="Times New Roman" w:hAnsi="Times New Roman" w:cs="Times New Roman"/>
          <w:sz w:val="24"/>
          <w:szCs w:val="24"/>
        </w:rPr>
        <w:t xml:space="preserve"> en respuesta a una cuestión prejudicial planteada por el Juzgado de lo social núm. 1 de Cuenca en u</w:t>
      </w:r>
      <w:r w:rsidR="006064E2">
        <w:rPr>
          <w:rFonts w:ascii="Times New Roman" w:hAnsi="Times New Roman" w:cs="Times New Roman"/>
          <w:sz w:val="24"/>
          <w:szCs w:val="24"/>
        </w:rPr>
        <w:t>n</w:t>
      </w:r>
      <w:r w:rsidRPr="006064E2">
        <w:rPr>
          <w:rFonts w:ascii="Times New Roman" w:hAnsi="Times New Roman" w:cs="Times New Roman"/>
          <w:sz w:val="24"/>
          <w:szCs w:val="24"/>
        </w:rPr>
        <w:t xml:space="preserve"> caso de despido de un trabajador con discapacidad</w:t>
      </w:r>
      <w:r w:rsidR="00941EB4" w:rsidRPr="006064E2">
        <w:rPr>
          <w:rFonts w:ascii="Times New Roman" w:hAnsi="Times New Roman" w:cs="Times New Roman"/>
          <w:sz w:val="24"/>
          <w:szCs w:val="24"/>
        </w:rPr>
        <w:t xml:space="preserve">. No obstante, el TJUE remite la resolución final del asunto concreto (el </w:t>
      </w:r>
      <w:r w:rsidR="00941EB4" w:rsidRPr="006064E2">
        <w:rPr>
          <w:rFonts w:ascii="Times New Roman" w:hAnsi="Times New Roman" w:cs="Times New Roman"/>
          <w:sz w:val="24"/>
          <w:szCs w:val="24"/>
        </w:rPr>
        <w:lastRenderedPageBreak/>
        <w:t xml:space="preserve">despido de un trabajador con discapacidad) a la Jurisdicción española. Recientemente, se ha dictado Sentencia del TSJ de Castilla La Mancha, de 10 de abril, sobre dicho asunto, en el que se confirma </w:t>
      </w:r>
      <w:r w:rsidR="00941EB4" w:rsidRPr="006064E2">
        <w:rPr>
          <w:rFonts w:ascii="Times New Roman" w:hAnsi="Times New Roman" w:cs="Times New Roman"/>
          <w:sz w:val="24"/>
          <w:szCs w:val="24"/>
          <w:shd w:val="clear" w:color="auto" w:fill="FEFDFA"/>
        </w:rPr>
        <w:t xml:space="preserve">la </w:t>
      </w:r>
      <w:r w:rsidR="00941EB4" w:rsidRPr="006064E2">
        <w:rPr>
          <w:rFonts w:ascii="Times New Roman" w:hAnsi="Times New Roman" w:cs="Times New Roman"/>
          <w:sz w:val="24"/>
          <w:szCs w:val="24"/>
        </w:rPr>
        <w:t>tesis de nulidad de una extinción producida al amparo del art. 52 d) de la Ley del Estatuto de los trabajadores cuando las bajas que se han computado para alcanzar los umbrales numéricos que la permiten encuentran su razón de ser en el estafo físico de discapacidad en que se encuentra la persona trabajadora. </w:t>
      </w:r>
    </w:p>
    <w:p w14:paraId="3F1A381C" w14:textId="77777777" w:rsidR="00941EB4" w:rsidRPr="006064E2" w:rsidRDefault="00941EB4" w:rsidP="006064E2">
      <w:pPr>
        <w:jc w:val="both"/>
        <w:rPr>
          <w:rFonts w:ascii="Times New Roman" w:hAnsi="Times New Roman" w:cs="Times New Roman"/>
          <w:sz w:val="24"/>
          <w:szCs w:val="24"/>
        </w:rPr>
      </w:pPr>
      <w:r w:rsidRPr="006064E2">
        <w:rPr>
          <w:rFonts w:ascii="Times New Roman" w:hAnsi="Times New Roman" w:cs="Times New Roman"/>
          <w:sz w:val="24"/>
          <w:szCs w:val="24"/>
        </w:rPr>
        <w:t>Entendemos que en esta materia el artículo 52 c) del Estatuto de los Trabajadores precisa de una reforma para hacer compatible s texto con la Directiva 2000/78/CE del Consejo, de 27 de noviembre de 2000, para eliminar cualquier sesgo de discriminación hacia las personas con discapacidad.</w:t>
      </w:r>
    </w:p>
    <w:p w14:paraId="6BE74DDE" w14:textId="77777777" w:rsidR="007D6903" w:rsidRPr="006064E2" w:rsidRDefault="00941EB4" w:rsidP="006064E2">
      <w:pPr>
        <w:jc w:val="both"/>
        <w:rPr>
          <w:rFonts w:ascii="Times New Roman" w:hAnsi="Times New Roman" w:cs="Times New Roman"/>
          <w:i/>
          <w:sz w:val="24"/>
          <w:szCs w:val="24"/>
        </w:rPr>
      </w:pPr>
      <w:r w:rsidRPr="006064E2">
        <w:rPr>
          <w:rFonts w:ascii="Times New Roman" w:hAnsi="Times New Roman" w:cs="Times New Roman"/>
          <w:sz w:val="24"/>
          <w:szCs w:val="24"/>
        </w:rPr>
        <w:t>N</w:t>
      </w:r>
      <w:r w:rsidR="007D6903" w:rsidRPr="006064E2">
        <w:rPr>
          <w:rFonts w:ascii="Times New Roman" w:hAnsi="Times New Roman" w:cs="Times New Roman"/>
          <w:sz w:val="24"/>
          <w:szCs w:val="24"/>
        </w:rPr>
        <w:t>o</w:t>
      </w:r>
      <w:r w:rsidRPr="006064E2">
        <w:rPr>
          <w:rFonts w:ascii="Times New Roman" w:hAnsi="Times New Roman" w:cs="Times New Roman"/>
          <w:sz w:val="24"/>
          <w:szCs w:val="24"/>
        </w:rPr>
        <w:t xml:space="preserve"> hay que olvidar que la Convención de Derechos de las Personas con Discapacidad, ratificada por España y en pleno vigor, también proh</w:t>
      </w:r>
      <w:r w:rsidR="007D6903" w:rsidRPr="006064E2">
        <w:rPr>
          <w:rFonts w:ascii="Times New Roman" w:hAnsi="Times New Roman" w:cs="Times New Roman"/>
          <w:sz w:val="24"/>
          <w:szCs w:val="24"/>
        </w:rPr>
        <w:t>í</w:t>
      </w:r>
      <w:r w:rsidRPr="006064E2">
        <w:rPr>
          <w:rFonts w:ascii="Times New Roman" w:hAnsi="Times New Roman" w:cs="Times New Roman"/>
          <w:sz w:val="24"/>
          <w:szCs w:val="24"/>
        </w:rPr>
        <w:t xml:space="preserve">be </w:t>
      </w:r>
      <w:r w:rsidR="007D6903" w:rsidRPr="006064E2">
        <w:rPr>
          <w:rFonts w:ascii="Times New Roman" w:hAnsi="Times New Roman" w:cs="Times New Roman"/>
          <w:i/>
          <w:sz w:val="24"/>
          <w:szCs w:val="24"/>
        </w:rPr>
        <w:t>“</w:t>
      </w:r>
      <w:r w:rsidRPr="006064E2">
        <w:rPr>
          <w:rFonts w:ascii="Times New Roman" w:hAnsi="Times New Roman" w:cs="Times New Roman"/>
          <w:i/>
          <w:sz w:val="24"/>
          <w:szCs w:val="24"/>
        </w:rPr>
        <w:t>la discriminación por motivos de discapacidad con respecto a todas las cuestiones relativas a cualquier forma de empleo, incluidas las condiciones de selección, contratación y empleo</w:t>
      </w:r>
      <w:r w:rsidR="007D6903" w:rsidRPr="006064E2">
        <w:rPr>
          <w:rFonts w:ascii="Times New Roman" w:hAnsi="Times New Roman" w:cs="Times New Roman"/>
          <w:i/>
          <w:sz w:val="24"/>
          <w:szCs w:val="24"/>
        </w:rPr>
        <w:t>…</w:t>
      </w:r>
      <w:r w:rsidR="006064E2">
        <w:rPr>
          <w:rFonts w:ascii="Times New Roman" w:hAnsi="Times New Roman" w:cs="Times New Roman"/>
          <w:i/>
          <w:sz w:val="24"/>
          <w:szCs w:val="24"/>
        </w:rPr>
        <w:t xml:space="preserve">”, </w:t>
      </w:r>
      <w:r w:rsidR="006064E2" w:rsidRPr="006064E2">
        <w:rPr>
          <w:rFonts w:ascii="Times New Roman" w:hAnsi="Times New Roman" w:cs="Times New Roman"/>
          <w:sz w:val="24"/>
          <w:szCs w:val="24"/>
        </w:rPr>
        <w:t>e igualmente, c</w:t>
      </w:r>
      <w:r w:rsidR="006064E2">
        <w:rPr>
          <w:rFonts w:ascii="Times New Roman" w:hAnsi="Times New Roman" w:cs="Times New Roman"/>
          <w:sz w:val="24"/>
          <w:szCs w:val="24"/>
        </w:rPr>
        <w:t>ua</w:t>
      </w:r>
      <w:r w:rsidR="006064E2" w:rsidRPr="006064E2">
        <w:rPr>
          <w:rFonts w:ascii="Times New Roman" w:hAnsi="Times New Roman" w:cs="Times New Roman"/>
          <w:sz w:val="24"/>
          <w:szCs w:val="24"/>
        </w:rPr>
        <w:t>lquier</w:t>
      </w:r>
      <w:r w:rsidR="007D6903" w:rsidRPr="006064E2">
        <w:rPr>
          <w:rFonts w:ascii="Times New Roman" w:hAnsi="Times New Roman" w:cs="Times New Roman"/>
          <w:sz w:val="24"/>
          <w:szCs w:val="24"/>
        </w:rPr>
        <w:t xml:space="preserve"> precepto </w:t>
      </w:r>
      <w:r w:rsidR="006064E2" w:rsidRPr="006064E2">
        <w:rPr>
          <w:rFonts w:ascii="Times New Roman" w:hAnsi="Times New Roman" w:cs="Times New Roman"/>
          <w:sz w:val="24"/>
          <w:szCs w:val="24"/>
        </w:rPr>
        <w:t>discriminatorio</w:t>
      </w:r>
      <w:r w:rsidR="007D6903" w:rsidRPr="006064E2">
        <w:rPr>
          <w:rFonts w:ascii="Times New Roman" w:hAnsi="Times New Roman" w:cs="Times New Roman"/>
          <w:sz w:val="24"/>
          <w:szCs w:val="24"/>
        </w:rPr>
        <w:t xml:space="preserve"> es incompatible con el </w:t>
      </w:r>
      <w:r w:rsidR="006064E2" w:rsidRPr="006064E2">
        <w:rPr>
          <w:rFonts w:ascii="Times New Roman" w:hAnsi="Times New Roman" w:cs="Times New Roman"/>
          <w:sz w:val="24"/>
          <w:szCs w:val="24"/>
        </w:rPr>
        <w:t>artículo</w:t>
      </w:r>
      <w:r w:rsidR="007D6903" w:rsidRPr="006064E2">
        <w:rPr>
          <w:rFonts w:ascii="Times New Roman" w:hAnsi="Times New Roman" w:cs="Times New Roman"/>
          <w:sz w:val="24"/>
          <w:szCs w:val="24"/>
        </w:rPr>
        <w:t xml:space="preserve"> 14 de la Constitución y los artículos 4.2.c) y 17.1 del propio </w:t>
      </w:r>
      <w:r w:rsidR="006064E2" w:rsidRPr="006064E2">
        <w:rPr>
          <w:rFonts w:ascii="Times New Roman" w:hAnsi="Times New Roman" w:cs="Times New Roman"/>
          <w:sz w:val="24"/>
          <w:szCs w:val="24"/>
        </w:rPr>
        <w:t>Estatuto de</w:t>
      </w:r>
      <w:r w:rsidR="007D6903" w:rsidRPr="006064E2">
        <w:rPr>
          <w:rFonts w:ascii="Times New Roman" w:hAnsi="Times New Roman" w:cs="Times New Roman"/>
          <w:sz w:val="24"/>
          <w:szCs w:val="24"/>
        </w:rPr>
        <w:t xml:space="preserve"> los Trabajadores.</w:t>
      </w:r>
    </w:p>
    <w:p w14:paraId="23A32EF1" w14:textId="77777777" w:rsidR="007D6903" w:rsidRPr="006064E2" w:rsidRDefault="007D6903" w:rsidP="006064E2">
      <w:pPr>
        <w:jc w:val="both"/>
        <w:rPr>
          <w:rFonts w:ascii="Times New Roman" w:hAnsi="Times New Roman" w:cs="Times New Roman"/>
          <w:sz w:val="24"/>
          <w:szCs w:val="24"/>
        </w:rPr>
      </w:pPr>
    </w:p>
    <w:p w14:paraId="464C9F9A" w14:textId="77777777" w:rsidR="007D6903" w:rsidRPr="006064E2" w:rsidRDefault="007D6903" w:rsidP="006064E2">
      <w:pPr>
        <w:jc w:val="both"/>
        <w:rPr>
          <w:rFonts w:ascii="Times New Roman" w:hAnsi="Times New Roman" w:cs="Times New Roman"/>
          <w:b/>
          <w:sz w:val="24"/>
          <w:szCs w:val="24"/>
        </w:rPr>
      </w:pPr>
      <w:r w:rsidRPr="006064E2">
        <w:rPr>
          <w:rFonts w:ascii="Times New Roman" w:hAnsi="Times New Roman" w:cs="Times New Roman"/>
          <w:b/>
          <w:sz w:val="24"/>
          <w:szCs w:val="24"/>
        </w:rPr>
        <w:t>PROPUESTA DE TEXTO</w:t>
      </w:r>
      <w:r w:rsidR="00734401">
        <w:rPr>
          <w:rFonts w:ascii="Times New Roman" w:hAnsi="Times New Roman" w:cs="Times New Roman"/>
          <w:b/>
          <w:sz w:val="24"/>
          <w:szCs w:val="24"/>
        </w:rPr>
        <w:t>:</w:t>
      </w:r>
    </w:p>
    <w:p w14:paraId="0493BECD" w14:textId="77777777" w:rsidR="007D6903" w:rsidRPr="006064E2" w:rsidRDefault="007D6903" w:rsidP="006064E2">
      <w:pPr>
        <w:pStyle w:val="parrafo"/>
        <w:spacing w:before="180" w:beforeAutospacing="0" w:after="180" w:afterAutospacing="0"/>
        <w:ind w:firstLine="360"/>
        <w:jc w:val="both"/>
        <w:rPr>
          <w:color w:val="333333"/>
        </w:rPr>
      </w:pPr>
      <w:r w:rsidRPr="006064E2">
        <w:t xml:space="preserve">Sustituir el artículo 52 </w:t>
      </w:r>
      <w:r w:rsidRPr="006064E2">
        <w:rPr>
          <w:color w:val="333333"/>
        </w:rPr>
        <w:t>d) por el siguiente texto:</w:t>
      </w:r>
    </w:p>
    <w:p w14:paraId="330B6882" w14:textId="77777777" w:rsidR="007D6903" w:rsidRPr="006064E2" w:rsidRDefault="007D6903" w:rsidP="006064E2">
      <w:pPr>
        <w:pStyle w:val="parrafo"/>
        <w:spacing w:before="180" w:beforeAutospacing="0" w:after="180" w:afterAutospacing="0"/>
        <w:ind w:left="284" w:right="284"/>
        <w:jc w:val="both"/>
        <w:rPr>
          <w:i/>
          <w:color w:val="333333"/>
          <w:shd w:val="clear" w:color="auto" w:fill="FFFFFF"/>
        </w:rPr>
      </w:pPr>
      <w:r w:rsidRPr="006064E2">
        <w:rPr>
          <w:i/>
          <w:color w:val="333333"/>
          <w:shd w:val="clear" w:color="auto" w:fill="FFFFFF"/>
        </w:rPr>
        <w:t>“El contrato podrá extinguirse:</w:t>
      </w:r>
    </w:p>
    <w:p w14:paraId="57B5193E" w14:textId="77777777" w:rsidR="007D6903" w:rsidRPr="006064E2" w:rsidRDefault="007D6903" w:rsidP="006064E2">
      <w:pPr>
        <w:pStyle w:val="parrafo"/>
        <w:spacing w:before="180" w:beforeAutospacing="0" w:after="180" w:afterAutospacing="0"/>
        <w:ind w:left="284" w:right="284"/>
        <w:jc w:val="both"/>
        <w:rPr>
          <w:i/>
          <w:color w:val="333333"/>
        </w:rPr>
      </w:pPr>
      <w:r w:rsidRPr="006064E2">
        <w:rPr>
          <w:i/>
          <w:color w:val="333333"/>
          <w:shd w:val="clear" w:color="auto" w:fill="FFFFFF"/>
        </w:rPr>
        <w:t>…</w:t>
      </w:r>
    </w:p>
    <w:p w14:paraId="59964D71" w14:textId="77777777" w:rsidR="007D6903" w:rsidRPr="006064E2" w:rsidRDefault="007D6903" w:rsidP="006064E2">
      <w:pPr>
        <w:pStyle w:val="parrafo"/>
        <w:spacing w:before="180" w:beforeAutospacing="0" w:after="180" w:afterAutospacing="0"/>
        <w:ind w:left="284" w:right="284"/>
        <w:jc w:val="both"/>
        <w:rPr>
          <w:i/>
          <w:color w:val="333333"/>
        </w:rPr>
      </w:pPr>
      <w:r w:rsidRPr="006064E2">
        <w:rPr>
          <w:i/>
          <w:color w:val="333333"/>
        </w:rPr>
        <w:t>Por faltas de asistencia al trabajo, aun justificadas pero intermitentes, que alcancen el veinte por ciento de las jornadas hábiles en dos meses consecutivos siempre que el total de faltas de asistencia en los doce meses anteriores alcance el cinco por ciento de las jornadas hábiles, o el veinticinco por ciento en cuatro meses discontinuos dentro de un periodo de doce meses.</w:t>
      </w:r>
    </w:p>
    <w:p w14:paraId="7625D3CB" w14:textId="77777777" w:rsidR="007D6903" w:rsidRPr="006064E2" w:rsidRDefault="007D6903" w:rsidP="006064E2">
      <w:pPr>
        <w:pStyle w:val="parrafo"/>
        <w:spacing w:before="180" w:beforeAutospacing="0" w:after="180" w:afterAutospacing="0"/>
        <w:ind w:left="284" w:right="284"/>
        <w:jc w:val="both"/>
        <w:rPr>
          <w:i/>
          <w:color w:val="333333"/>
        </w:rPr>
      </w:pPr>
      <w:r w:rsidRPr="006064E2">
        <w:rPr>
          <w:i/>
          <w:color w:val="333333"/>
        </w:rPr>
        <w:t>No se computarán como faltas de asistencia, a los efectos del párrafo anterior, las ausencias debidas a huelga legal por el tiempo de duración de la misma, el ejercicio de actividades de representación legal de los trabajadores, accidente de trabajo, maternidad, riesgo durante el embarazo y la lactancia, enfermedades causadas por embarazo, parto o lactancia, paternidad, licencias y vacaciones, enfermedad o accidente no laboral cuando la baja haya sido acordada por los servicios sanitarios oficiales y tenga una duración de más de veinte días consecutivos, ni las motivadas por la situación física o psicológica derivada de violencia de género, acreditada por los servicios sociales de atención o servicios de Salud, según proceda.</w:t>
      </w:r>
    </w:p>
    <w:p w14:paraId="243B1A98" w14:textId="77777777" w:rsidR="006064E2" w:rsidRDefault="007D6903" w:rsidP="006064E2">
      <w:pPr>
        <w:pStyle w:val="parrafo"/>
        <w:spacing w:before="180" w:beforeAutospacing="0" w:after="180" w:afterAutospacing="0"/>
        <w:ind w:left="284" w:right="284"/>
        <w:jc w:val="both"/>
        <w:rPr>
          <w:i/>
          <w:color w:val="333333"/>
        </w:rPr>
      </w:pPr>
      <w:r w:rsidRPr="006064E2">
        <w:rPr>
          <w:i/>
          <w:color w:val="333333"/>
        </w:rPr>
        <w:t xml:space="preserve">Tampoco se computarán las ausencias que obedezcan </w:t>
      </w:r>
      <w:r w:rsidRPr="00734401">
        <w:rPr>
          <w:b/>
          <w:i/>
          <w:color w:val="FF0000"/>
          <w:u w:val="single"/>
        </w:rPr>
        <w:t>a enfermedades</w:t>
      </w:r>
      <w:r w:rsidR="00734401" w:rsidRPr="00734401">
        <w:rPr>
          <w:b/>
          <w:i/>
          <w:color w:val="FF0000"/>
          <w:u w:val="single"/>
        </w:rPr>
        <w:t>, dolencias, patologías y condiciones de salud</w:t>
      </w:r>
      <w:r w:rsidRPr="00734401">
        <w:rPr>
          <w:b/>
          <w:i/>
          <w:color w:val="FF0000"/>
          <w:u w:val="single"/>
        </w:rPr>
        <w:t xml:space="preserve"> </w:t>
      </w:r>
      <w:r w:rsidR="00734401" w:rsidRPr="00734401">
        <w:rPr>
          <w:b/>
          <w:i/>
          <w:color w:val="FF0000"/>
          <w:u w:val="single"/>
        </w:rPr>
        <w:t xml:space="preserve">atribuibles a </w:t>
      </w:r>
      <w:r w:rsidRPr="00734401">
        <w:rPr>
          <w:b/>
          <w:i/>
          <w:color w:val="FF0000"/>
          <w:u w:val="single"/>
        </w:rPr>
        <w:t>la discapacidad de la persona trabajadora o a</w:t>
      </w:r>
      <w:r w:rsidRPr="006064E2">
        <w:rPr>
          <w:i/>
          <w:color w:val="333333"/>
        </w:rPr>
        <w:t xml:space="preserve"> un tratamiento médico de cáncer o enfermedad grave.</w:t>
      </w:r>
      <w:r w:rsidR="006064E2">
        <w:rPr>
          <w:i/>
          <w:color w:val="333333"/>
        </w:rPr>
        <w:t>”</w:t>
      </w:r>
    </w:p>
    <w:p w14:paraId="0A77F8D6" w14:textId="77777777" w:rsidR="006064E2" w:rsidRDefault="006064E2" w:rsidP="00734401">
      <w:pPr>
        <w:pStyle w:val="parrafo"/>
        <w:spacing w:before="180" w:beforeAutospacing="0" w:after="180" w:afterAutospacing="0"/>
        <w:ind w:left="284" w:right="284"/>
        <w:jc w:val="right"/>
        <w:rPr>
          <w:color w:val="333333"/>
        </w:rPr>
      </w:pPr>
      <w:r>
        <w:rPr>
          <w:color w:val="333333"/>
        </w:rPr>
        <w:tab/>
      </w:r>
      <w:r>
        <w:rPr>
          <w:color w:val="333333"/>
        </w:rPr>
        <w:tab/>
      </w:r>
      <w:r>
        <w:rPr>
          <w:color w:val="333333"/>
        </w:rPr>
        <w:tab/>
      </w:r>
      <w:r>
        <w:rPr>
          <w:color w:val="333333"/>
        </w:rPr>
        <w:tab/>
      </w:r>
      <w:r>
        <w:rPr>
          <w:color w:val="333333"/>
        </w:rPr>
        <w:tab/>
      </w:r>
      <w:r>
        <w:rPr>
          <w:color w:val="333333"/>
        </w:rPr>
        <w:tab/>
      </w:r>
      <w:r>
        <w:rPr>
          <w:color w:val="333333"/>
        </w:rPr>
        <w:tab/>
      </w:r>
      <w:r w:rsidR="009478CB">
        <w:rPr>
          <w:color w:val="333333"/>
        </w:rPr>
        <w:t>7</w:t>
      </w:r>
      <w:r>
        <w:rPr>
          <w:color w:val="333333"/>
        </w:rPr>
        <w:t xml:space="preserve"> de mayo de 2019</w:t>
      </w:r>
      <w:r w:rsidR="00734401">
        <w:rPr>
          <w:color w:val="333333"/>
        </w:rPr>
        <w:t>.</w:t>
      </w:r>
    </w:p>
    <w:p w14:paraId="3791E563" w14:textId="77777777" w:rsidR="00734401" w:rsidRDefault="00734401" w:rsidP="00734401">
      <w:pPr>
        <w:pStyle w:val="parrafo"/>
        <w:spacing w:before="180" w:beforeAutospacing="0" w:after="180" w:afterAutospacing="0"/>
        <w:ind w:left="284" w:right="284"/>
        <w:jc w:val="right"/>
        <w:rPr>
          <w:color w:val="333333"/>
        </w:rPr>
      </w:pPr>
    </w:p>
    <w:p w14:paraId="7319D0EB" w14:textId="77777777" w:rsidR="00734401" w:rsidRPr="00734401" w:rsidRDefault="00734401" w:rsidP="00734401">
      <w:pPr>
        <w:pStyle w:val="parrafo"/>
        <w:spacing w:before="180" w:beforeAutospacing="0" w:after="180" w:afterAutospacing="0"/>
        <w:ind w:left="284" w:right="284"/>
        <w:jc w:val="center"/>
        <w:rPr>
          <w:b/>
          <w:color w:val="333333"/>
        </w:rPr>
      </w:pPr>
      <w:r w:rsidRPr="00734401">
        <w:rPr>
          <w:b/>
          <w:color w:val="333333"/>
        </w:rPr>
        <w:lastRenderedPageBreak/>
        <w:t>CERMI</w:t>
      </w:r>
    </w:p>
    <w:p w14:paraId="4070ABED" w14:textId="77777777" w:rsidR="00734401" w:rsidRPr="00734401" w:rsidRDefault="00734401" w:rsidP="00734401">
      <w:pPr>
        <w:pStyle w:val="parrafo"/>
        <w:spacing w:before="180" w:beforeAutospacing="0" w:after="180" w:afterAutospacing="0"/>
        <w:ind w:left="284" w:right="284"/>
        <w:jc w:val="center"/>
        <w:rPr>
          <w:b/>
          <w:color w:val="333333"/>
        </w:rPr>
      </w:pPr>
      <w:hyperlink r:id="rId9" w:history="1">
        <w:r w:rsidRPr="00734401">
          <w:rPr>
            <w:rStyle w:val="Hipervnculo"/>
            <w:b/>
          </w:rPr>
          <w:t>www.cermi.es</w:t>
        </w:r>
      </w:hyperlink>
    </w:p>
    <w:p w14:paraId="3D8073F2" w14:textId="77777777" w:rsidR="00734401" w:rsidRPr="006064E2" w:rsidRDefault="00734401" w:rsidP="00734401">
      <w:pPr>
        <w:pStyle w:val="parrafo"/>
        <w:spacing w:before="180" w:beforeAutospacing="0" w:after="180" w:afterAutospacing="0"/>
        <w:ind w:left="284" w:right="284"/>
        <w:jc w:val="right"/>
        <w:rPr>
          <w:color w:val="333333"/>
        </w:rPr>
      </w:pPr>
    </w:p>
    <w:p w14:paraId="03ECE462" w14:textId="77777777" w:rsidR="007D6903" w:rsidRPr="006064E2" w:rsidRDefault="007D6903" w:rsidP="006064E2">
      <w:pPr>
        <w:jc w:val="both"/>
        <w:rPr>
          <w:rFonts w:ascii="Times New Roman" w:hAnsi="Times New Roman" w:cs="Times New Roman"/>
          <w:sz w:val="24"/>
          <w:szCs w:val="24"/>
        </w:rPr>
      </w:pPr>
      <w:bookmarkStart w:id="1" w:name="_GoBack"/>
      <w:bookmarkEnd w:id="1"/>
    </w:p>
    <w:sectPr w:rsidR="007D6903" w:rsidRPr="006064E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E0CEC9" w14:textId="77777777" w:rsidR="000B319E" w:rsidRDefault="000B319E" w:rsidP="000B319E">
      <w:pPr>
        <w:spacing w:after="0" w:line="240" w:lineRule="auto"/>
      </w:pPr>
      <w:r>
        <w:separator/>
      </w:r>
    </w:p>
  </w:endnote>
  <w:endnote w:type="continuationSeparator" w:id="0">
    <w:p w14:paraId="4DE68BF0" w14:textId="77777777" w:rsidR="000B319E" w:rsidRDefault="000B319E" w:rsidP="000B3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82927" w14:textId="77777777" w:rsidR="000B319E" w:rsidRDefault="000B319E" w:rsidP="000B319E">
      <w:pPr>
        <w:spacing w:after="0" w:line="240" w:lineRule="auto"/>
      </w:pPr>
      <w:r>
        <w:separator/>
      </w:r>
    </w:p>
  </w:footnote>
  <w:footnote w:type="continuationSeparator" w:id="0">
    <w:p w14:paraId="1C9A97EC" w14:textId="77777777" w:rsidR="000B319E" w:rsidRDefault="000B319E" w:rsidP="000B3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E7"/>
    <w:rsid w:val="000B319E"/>
    <w:rsid w:val="006064E2"/>
    <w:rsid w:val="006A6606"/>
    <w:rsid w:val="00734401"/>
    <w:rsid w:val="007D6903"/>
    <w:rsid w:val="007F5A93"/>
    <w:rsid w:val="008F39E7"/>
    <w:rsid w:val="00941EB4"/>
    <w:rsid w:val="009478CB"/>
    <w:rsid w:val="00D1430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79C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143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D1430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14306"/>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0B31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319E"/>
  </w:style>
  <w:style w:type="paragraph" w:styleId="Piedepgina">
    <w:name w:val="footer"/>
    <w:basedOn w:val="Normal"/>
    <w:link w:val="PiedepginaCar"/>
    <w:uiPriority w:val="99"/>
    <w:unhideWhenUsed/>
    <w:rsid w:val="000B31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319E"/>
  </w:style>
  <w:style w:type="character" w:styleId="Hipervnculo">
    <w:name w:val="Hyperlink"/>
    <w:basedOn w:val="Fuentedeprrafopredeter"/>
    <w:uiPriority w:val="99"/>
    <w:unhideWhenUsed/>
    <w:rsid w:val="00734401"/>
    <w:rPr>
      <w:color w:val="0563C1" w:themeColor="hyperlink"/>
      <w:u w:val="single"/>
    </w:rPr>
  </w:style>
  <w:style w:type="paragraph" w:styleId="Textodeglobo">
    <w:name w:val="Balloon Text"/>
    <w:basedOn w:val="Normal"/>
    <w:link w:val="TextodegloboCar"/>
    <w:uiPriority w:val="99"/>
    <w:semiHidden/>
    <w:unhideWhenUsed/>
    <w:rsid w:val="0073440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44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D1430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rafo">
    <w:name w:val="parrafo"/>
    <w:basedOn w:val="Normal"/>
    <w:rsid w:val="00D1430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3Car">
    <w:name w:val="Título 3 Car"/>
    <w:basedOn w:val="Fuentedeprrafopredeter"/>
    <w:link w:val="Ttulo3"/>
    <w:uiPriority w:val="9"/>
    <w:semiHidden/>
    <w:rsid w:val="00D14306"/>
    <w:rPr>
      <w:rFonts w:asciiTheme="majorHAnsi" w:eastAsiaTheme="majorEastAsia" w:hAnsiTheme="majorHAnsi" w:cstheme="majorBidi"/>
      <w:color w:val="1F3763" w:themeColor="accent1" w:themeShade="7F"/>
      <w:sz w:val="24"/>
      <w:szCs w:val="24"/>
    </w:rPr>
  </w:style>
  <w:style w:type="paragraph" w:styleId="Encabezado">
    <w:name w:val="header"/>
    <w:basedOn w:val="Normal"/>
    <w:link w:val="EncabezadoCar"/>
    <w:uiPriority w:val="99"/>
    <w:unhideWhenUsed/>
    <w:rsid w:val="000B319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319E"/>
  </w:style>
  <w:style w:type="paragraph" w:styleId="Piedepgina">
    <w:name w:val="footer"/>
    <w:basedOn w:val="Normal"/>
    <w:link w:val="PiedepginaCar"/>
    <w:uiPriority w:val="99"/>
    <w:unhideWhenUsed/>
    <w:rsid w:val="000B319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319E"/>
  </w:style>
  <w:style w:type="character" w:styleId="Hipervnculo">
    <w:name w:val="Hyperlink"/>
    <w:basedOn w:val="Fuentedeprrafopredeter"/>
    <w:uiPriority w:val="99"/>
    <w:unhideWhenUsed/>
    <w:rsid w:val="00734401"/>
    <w:rPr>
      <w:color w:val="0563C1" w:themeColor="hyperlink"/>
      <w:u w:val="single"/>
    </w:rPr>
  </w:style>
  <w:style w:type="paragraph" w:styleId="Textodeglobo">
    <w:name w:val="Balloon Text"/>
    <w:basedOn w:val="Normal"/>
    <w:link w:val="TextodegloboCar"/>
    <w:uiPriority w:val="99"/>
    <w:semiHidden/>
    <w:unhideWhenUsed/>
    <w:rsid w:val="00734401"/>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344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2615">
      <w:bodyDiv w:val="1"/>
      <w:marLeft w:val="0"/>
      <w:marRight w:val="0"/>
      <w:marTop w:val="0"/>
      <w:marBottom w:val="0"/>
      <w:divBdr>
        <w:top w:val="none" w:sz="0" w:space="0" w:color="auto"/>
        <w:left w:val="none" w:sz="0" w:space="0" w:color="auto"/>
        <w:bottom w:val="none" w:sz="0" w:space="0" w:color="auto"/>
        <w:right w:val="none" w:sz="0" w:space="0" w:color="auto"/>
      </w:divBdr>
    </w:div>
    <w:div w:id="1606620200">
      <w:bodyDiv w:val="1"/>
      <w:marLeft w:val="0"/>
      <w:marRight w:val="0"/>
      <w:marTop w:val="0"/>
      <w:marBottom w:val="0"/>
      <w:divBdr>
        <w:top w:val="none" w:sz="0" w:space="0" w:color="auto"/>
        <w:left w:val="none" w:sz="0" w:space="0" w:color="auto"/>
        <w:bottom w:val="none" w:sz="0" w:space="0" w:color="auto"/>
        <w:right w:val="none" w:sz="0" w:space="0" w:color="auto"/>
      </w:divBdr>
    </w:div>
    <w:div w:id="2039118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yperlink" Target="http://www.cermi.es"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853</Words>
  <Characters>4693</Characters>
  <Application>Microsoft Macintosh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2019-05-07T13:36:00Z</dcterms:created>
  <dcterms:modified xsi:type="dcterms:W3CDTF">2019-05-07T13:38:00Z</dcterms:modified>
</cp:coreProperties>
</file>