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DF466" w14:textId="180D8258" w:rsidR="00014942" w:rsidRPr="004469CF" w:rsidRDefault="00014942" w:rsidP="00014942">
      <w:pPr>
        <w:pStyle w:val="p1"/>
        <w:pBdr>
          <w:bottom w:val="single" w:sz="12" w:space="1" w:color="auto"/>
        </w:pBdr>
        <w:jc w:val="center"/>
        <w:rPr>
          <w:rStyle w:val="s2"/>
          <w:rFonts w:ascii="Times New Roman" w:hAnsi="Times New Roman" w:cs="Times New Roman"/>
          <w:sz w:val="28"/>
          <w:szCs w:val="28"/>
          <w:u w:val="none"/>
        </w:rPr>
      </w:pPr>
      <w:bookmarkStart w:id="0" w:name="_GoBack"/>
      <w:bookmarkEnd w:id="0"/>
      <w:r w:rsidRPr="004469CF">
        <w:rPr>
          <w:rFonts w:ascii="Helvetica" w:hAnsi="Helvetica" w:cs="Helvetica"/>
          <w:noProof/>
          <w:sz w:val="28"/>
          <w:szCs w:val="28"/>
        </w:rPr>
        <w:drawing>
          <wp:inline distT="0" distB="0" distL="0" distR="0" wp14:anchorId="18BB08C1" wp14:editId="5A1CB53E">
            <wp:extent cx="1410335" cy="1133093"/>
            <wp:effectExtent l="0" t="0" r="12065"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0396" cy="1133142"/>
                    </a:xfrm>
                    <a:prstGeom prst="rect">
                      <a:avLst/>
                    </a:prstGeom>
                    <a:noFill/>
                    <a:ln>
                      <a:noFill/>
                    </a:ln>
                  </pic:spPr>
                </pic:pic>
              </a:graphicData>
            </a:graphic>
          </wp:inline>
        </w:drawing>
      </w:r>
    </w:p>
    <w:p w14:paraId="1A61E969" w14:textId="77777777" w:rsidR="00014942" w:rsidRPr="004469CF" w:rsidRDefault="00014942" w:rsidP="00014942">
      <w:pPr>
        <w:pStyle w:val="p1"/>
        <w:pBdr>
          <w:bottom w:val="single" w:sz="12" w:space="1" w:color="auto"/>
        </w:pBdr>
        <w:jc w:val="center"/>
        <w:rPr>
          <w:rStyle w:val="s2"/>
          <w:rFonts w:ascii="Times New Roman" w:hAnsi="Times New Roman" w:cs="Times New Roman"/>
          <w:sz w:val="28"/>
          <w:szCs w:val="28"/>
          <w:u w:val="none"/>
        </w:rPr>
      </w:pPr>
    </w:p>
    <w:p w14:paraId="5E2E93C2" w14:textId="160B1009" w:rsidR="00014942" w:rsidRPr="004469CF" w:rsidRDefault="00014942" w:rsidP="00307059">
      <w:pPr>
        <w:pStyle w:val="p1"/>
        <w:pBdr>
          <w:bottom w:val="single" w:sz="12" w:space="1" w:color="auto"/>
        </w:pBdr>
        <w:jc w:val="both"/>
        <w:rPr>
          <w:rStyle w:val="s2"/>
          <w:rFonts w:ascii="Times New Roman" w:hAnsi="Times New Roman" w:cs="Times New Roman"/>
          <w:sz w:val="28"/>
          <w:szCs w:val="28"/>
          <w:u w:val="none"/>
        </w:rPr>
      </w:pPr>
      <w:r w:rsidRPr="004469CF">
        <w:rPr>
          <w:rStyle w:val="s2"/>
          <w:rFonts w:ascii="Times New Roman" w:hAnsi="Times New Roman" w:cs="Times New Roman"/>
          <w:sz w:val="28"/>
          <w:szCs w:val="28"/>
          <w:u w:val="none"/>
        </w:rPr>
        <w:t xml:space="preserve">APORTACIONES DEL CERMI AL </w:t>
      </w:r>
      <w:r w:rsidR="00307059" w:rsidRPr="004469CF">
        <w:rPr>
          <w:rStyle w:val="s2"/>
          <w:rFonts w:ascii="Times New Roman" w:hAnsi="Times New Roman" w:cs="Times New Roman"/>
          <w:sz w:val="28"/>
          <w:szCs w:val="28"/>
          <w:u w:val="none"/>
        </w:rPr>
        <w:t>BORRADOR DE ORDEN, POR LA QUE SE ESTABLECEN LAS BASES REGULADORAS PARA LA CONCESIÓN DE SUBVENCIONES DE AYUDAS DE ACCIÓN SOCIAL</w:t>
      </w:r>
    </w:p>
    <w:p w14:paraId="12886576" w14:textId="77777777" w:rsidR="00307059" w:rsidRPr="004469CF" w:rsidRDefault="00307059" w:rsidP="00307059">
      <w:pPr>
        <w:pStyle w:val="p2"/>
        <w:jc w:val="both"/>
        <w:rPr>
          <w:rFonts w:ascii="Times New Roman" w:hAnsi="Times New Roman" w:cs="Times New Roman"/>
          <w:sz w:val="28"/>
          <w:szCs w:val="28"/>
        </w:rPr>
      </w:pPr>
    </w:p>
    <w:p w14:paraId="126EFE9D" w14:textId="0CC5E192" w:rsidR="00307059" w:rsidRPr="00FB1911" w:rsidRDefault="00014942" w:rsidP="00307059">
      <w:pPr>
        <w:pStyle w:val="p2"/>
        <w:jc w:val="both"/>
        <w:rPr>
          <w:rFonts w:ascii="Times New Roman" w:hAnsi="Times New Roman" w:cs="Times New Roman"/>
          <w:color w:val="FF0000"/>
          <w:sz w:val="28"/>
          <w:szCs w:val="28"/>
        </w:rPr>
      </w:pPr>
      <w:r w:rsidRPr="00FB1911">
        <w:rPr>
          <w:rFonts w:ascii="Times New Roman" w:hAnsi="Times New Roman" w:cs="Times New Roman"/>
          <w:color w:val="FF0000"/>
          <w:sz w:val="28"/>
          <w:szCs w:val="28"/>
        </w:rPr>
        <w:t xml:space="preserve">Se plantea que se prevea en el texto de la Orden que en los órganos, estructuras o comisiones de evaluación de las ayudas, se invite a participar, a título de asesoría experta externa, por razón de su cualificación social, a un representante designado por una parte, por la organización social más representativa, en el ámbito nacional,  que agrupe a los militares y guardias civiles con discapacidad, y por otro, a un representante de la organización social más representativa, en el ámbito nacional, del sector social de la discapacidad considerado globalmente. En ambos casos, con </w:t>
      </w:r>
      <w:proofErr w:type="gramStart"/>
      <w:r w:rsidRPr="00FB1911">
        <w:rPr>
          <w:rFonts w:ascii="Times New Roman" w:hAnsi="Times New Roman" w:cs="Times New Roman"/>
          <w:color w:val="FF0000"/>
          <w:sz w:val="28"/>
          <w:szCs w:val="28"/>
        </w:rPr>
        <w:t>voz</w:t>
      </w:r>
      <w:proofErr w:type="gramEnd"/>
      <w:r w:rsidRPr="00FB1911">
        <w:rPr>
          <w:rFonts w:ascii="Times New Roman" w:hAnsi="Times New Roman" w:cs="Times New Roman"/>
          <w:color w:val="FF0000"/>
          <w:sz w:val="28"/>
          <w:szCs w:val="28"/>
        </w:rPr>
        <w:t xml:space="preserve"> pero sin voto.</w:t>
      </w:r>
    </w:p>
    <w:p w14:paraId="25E19A38" w14:textId="77777777" w:rsidR="00014942" w:rsidRPr="004469CF" w:rsidRDefault="00014942" w:rsidP="00307059">
      <w:pPr>
        <w:pStyle w:val="p2"/>
        <w:jc w:val="both"/>
        <w:rPr>
          <w:rFonts w:ascii="Times New Roman" w:hAnsi="Times New Roman" w:cs="Times New Roman"/>
          <w:sz w:val="28"/>
          <w:szCs w:val="28"/>
        </w:rPr>
      </w:pPr>
    </w:p>
    <w:p w14:paraId="472A7C64" w14:textId="77777777" w:rsidR="00307059" w:rsidRPr="004469CF" w:rsidRDefault="00307059" w:rsidP="00307059">
      <w:pPr>
        <w:pStyle w:val="p1"/>
        <w:jc w:val="both"/>
        <w:rPr>
          <w:rFonts w:ascii="Times New Roman" w:hAnsi="Times New Roman" w:cs="Times New Roman"/>
          <w:sz w:val="28"/>
          <w:szCs w:val="28"/>
        </w:rPr>
      </w:pPr>
      <w:r w:rsidRPr="004469CF">
        <w:rPr>
          <w:rStyle w:val="s2"/>
          <w:rFonts w:ascii="Times New Roman" w:hAnsi="Times New Roman" w:cs="Times New Roman"/>
          <w:sz w:val="28"/>
          <w:szCs w:val="28"/>
        </w:rPr>
        <w:t>ELEMENTOS MÁS RELEVANTES:</w:t>
      </w:r>
    </w:p>
    <w:p w14:paraId="56B06ABE" w14:textId="77777777" w:rsidR="00307059" w:rsidRPr="004469CF" w:rsidRDefault="00307059" w:rsidP="00307059">
      <w:pPr>
        <w:pStyle w:val="p2"/>
        <w:jc w:val="both"/>
        <w:rPr>
          <w:rFonts w:ascii="Times New Roman" w:hAnsi="Times New Roman" w:cs="Times New Roman"/>
          <w:sz w:val="28"/>
          <w:szCs w:val="28"/>
        </w:rPr>
      </w:pPr>
    </w:p>
    <w:p w14:paraId="48FBDB02" w14:textId="2CC6CB61" w:rsidR="00307059" w:rsidRPr="004469CF" w:rsidRDefault="00307059" w:rsidP="00307059">
      <w:pPr>
        <w:pStyle w:val="p1"/>
        <w:jc w:val="both"/>
        <w:rPr>
          <w:rStyle w:val="apple-converted-space"/>
          <w:rFonts w:ascii="Times New Roman" w:hAnsi="Times New Roman" w:cs="Times New Roman"/>
          <w:sz w:val="28"/>
          <w:szCs w:val="28"/>
        </w:rPr>
      </w:pPr>
      <w:r w:rsidRPr="004469CF">
        <w:rPr>
          <w:rStyle w:val="s2"/>
          <w:rFonts w:ascii="Times New Roman" w:hAnsi="Times New Roman" w:cs="Times New Roman"/>
          <w:sz w:val="28"/>
          <w:szCs w:val="28"/>
        </w:rPr>
        <w:t xml:space="preserve">Unifica criterios de las distintas ayudas: </w:t>
      </w:r>
      <w:r w:rsidRPr="004469CF">
        <w:rPr>
          <w:rStyle w:val="s1"/>
          <w:rFonts w:ascii="Times New Roman" w:hAnsi="Times New Roman" w:cs="Times New Roman"/>
          <w:sz w:val="28"/>
          <w:szCs w:val="28"/>
        </w:rPr>
        <w:t>Dichas ayudas se han venido materializando desde el año 2016 a través de diversas convocatorias de subvenciones publicadas por el Ejército de Tierra, la Armada y el Ejército del Aire.</w:t>
      </w:r>
      <w:r w:rsidRPr="004469CF">
        <w:rPr>
          <w:rStyle w:val="apple-converted-space"/>
          <w:rFonts w:ascii="Times New Roman" w:hAnsi="Times New Roman" w:cs="Times New Roman"/>
          <w:sz w:val="28"/>
          <w:szCs w:val="28"/>
        </w:rPr>
        <w:t> </w:t>
      </w:r>
    </w:p>
    <w:p w14:paraId="6175103E" w14:textId="77777777" w:rsidR="00F14C9F" w:rsidRPr="004469CF" w:rsidRDefault="00F14C9F" w:rsidP="00307059">
      <w:pPr>
        <w:pStyle w:val="p1"/>
        <w:jc w:val="both"/>
        <w:rPr>
          <w:rFonts w:ascii="Times New Roman" w:hAnsi="Times New Roman" w:cs="Times New Roman"/>
          <w:sz w:val="28"/>
          <w:szCs w:val="28"/>
        </w:rPr>
      </w:pPr>
    </w:p>
    <w:p w14:paraId="010DA95B" w14:textId="77777777" w:rsidR="00307059" w:rsidRPr="004469CF" w:rsidRDefault="00307059" w:rsidP="00307059">
      <w:pPr>
        <w:pStyle w:val="p1"/>
        <w:jc w:val="both"/>
        <w:rPr>
          <w:rFonts w:ascii="Times New Roman" w:hAnsi="Times New Roman" w:cs="Times New Roman"/>
          <w:sz w:val="28"/>
          <w:szCs w:val="28"/>
        </w:rPr>
      </w:pPr>
      <w:r w:rsidRPr="004469CF">
        <w:rPr>
          <w:rStyle w:val="s1"/>
          <w:rFonts w:ascii="Times New Roman" w:hAnsi="Times New Roman" w:cs="Times New Roman"/>
          <w:sz w:val="28"/>
          <w:szCs w:val="28"/>
        </w:rPr>
        <w:t>En aras de una mayor coordinación, y con el objetivo de que sean tratadas de manera similar las situaciones de grave o especial necesidad que estas subvenciones intentan paliar, se considera necesario dotar de un marco de referencia único a las convocatorias que con esta finalidad sean publicadas en el futuro.</w:t>
      </w:r>
    </w:p>
    <w:p w14:paraId="0426C26F" w14:textId="77777777" w:rsidR="00307059" w:rsidRPr="004469CF" w:rsidRDefault="00307059" w:rsidP="00307059">
      <w:pPr>
        <w:pStyle w:val="p2"/>
        <w:jc w:val="both"/>
        <w:rPr>
          <w:rFonts w:ascii="Times New Roman" w:hAnsi="Times New Roman" w:cs="Times New Roman"/>
          <w:sz w:val="28"/>
          <w:szCs w:val="28"/>
        </w:rPr>
      </w:pPr>
    </w:p>
    <w:p w14:paraId="5DFDBC8B" w14:textId="446B8184" w:rsidR="00307059" w:rsidRPr="004469CF" w:rsidRDefault="00307059" w:rsidP="00307059">
      <w:pPr>
        <w:pStyle w:val="p1"/>
        <w:jc w:val="both"/>
        <w:rPr>
          <w:rFonts w:ascii="Times New Roman" w:hAnsi="Times New Roman" w:cs="Times New Roman"/>
          <w:sz w:val="28"/>
          <w:szCs w:val="28"/>
        </w:rPr>
      </w:pPr>
      <w:r w:rsidRPr="004469CF">
        <w:rPr>
          <w:rStyle w:val="s2"/>
          <w:rFonts w:ascii="Times New Roman" w:hAnsi="Times New Roman" w:cs="Times New Roman"/>
          <w:sz w:val="28"/>
          <w:szCs w:val="28"/>
        </w:rPr>
        <w:t>La finalidad</w:t>
      </w:r>
      <w:r w:rsidRPr="004469CF">
        <w:rPr>
          <w:rStyle w:val="s1"/>
          <w:rFonts w:ascii="Times New Roman" w:hAnsi="Times New Roman" w:cs="Times New Roman"/>
          <w:sz w:val="28"/>
          <w:szCs w:val="28"/>
        </w:rPr>
        <w:t>: ayudar a asociaciones, fundaciones, instituciones u organismos, en adelante entidades, de carácter benéfico-social cuyos fines estén relacionados con el personal retirado de las Fuerzas Armadas, cónyuges viudos o huérfanos y que dediquen las subvenciones a apoyar a aquellos que se encuentren en situación</w:t>
      </w:r>
      <w:r w:rsidRPr="004469CF">
        <w:rPr>
          <w:rStyle w:val="apple-converted-space"/>
          <w:rFonts w:ascii="Times New Roman" w:hAnsi="Times New Roman" w:cs="Times New Roman"/>
          <w:sz w:val="28"/>
          <w:szCs w:val="28"/>
        </w:rPr>
        <w:t> de</w:t>
      </w:r>
      <w:r w:rsidRPr="004469CF">
        <w:rPr>
          <w:rStyle w:val="s1"/>
          <w:rFonts w:ascii="Times New Roman" w:hAnsi="Times New Roman" w:cs="Times New Roman"/>
          <w:sz w:val="28"/>
          <w:szCs w:val="28"/>
        </w:rPr>
        <w:t xml:space="preserve"> discapacidad, de gran necesidad o con bajos ingresos.</w:t>
      </w:r>
    </w:p>
    <w:p w14:paraId="6A3709E0" w14:textId="77777777" w:rsidR="00307059" w:rsidRPr="004469CF" w:rsidRDefault="00307059" w:rsidP="00307059">
      <w:pPr>
        <w:pStyle w:val="p2"/>
        <w:jc w:val="both"/>
        <w:rPr>
          <w:rFonts w:ascii="Times New Roman" w:hAnsi="Times New Roman" w:cs="Times New Roman"/>
          <w:sz w:val="28"/>
          <w:szCs w:val="28"/>
        </w:rPr>
      </w:pPr>
    </w:p>
    <w:p w14:paraId="5C82CE1C" w14:textId="77777777" w:rsidR="00307059" w:rsidRPr="004469CF" w:rsidRDefault="00307059" w:rsidP="00307059">
      <w:pPr>
        <w:pStyle w:val="p1"/>
        <w:jc w:val="both"/>
        <w:rPr>
          <w:rFonts w:ascii="Times New Roman" w:hAnsi="Times New Roman" w:cs="Times New Roman"/>
          <w:sz w:val="28"/>
          <w:szCs w:val="28"/>
        </w:rPr>
      </w:pPr>
      <w:r w:rsidRPr="004469CF">
        <w:rPr>
          <w:rStyle w:val="s2"/>
          <w:rFonts w:ascii="Times New Roman" w:hAnsi="Times New Roman" w:cs="Times New Roman"/>
          <w:sz w:val="28"/>
          <w:szCs w:val="28"/>
        </w:rPr>
        <w:lastRenderedPageBreak/>
        <w:t xml:space="preserve">Podrán optar a las subvenciones: </w:t>
      </w:r>
      <w:r w:rsidRPr="004469CF">
        <w:rPr>
          <w:rStyle w:val="s1"/>
          <w:rFonts w:ascii="Times New Roman" w:hAnsi="Times New Roman" w:cs="Times New Roman"/>
          <w:sz w:val="28"/>
          <w:szCs w:val="28"/>
        </w:rPr>
        <w:t>entidades sin ánimo de lucro, no reivindicativo, y que no desarrollen actividades incompatibles con la neutralidad política que legalmente viene impuesta a las Fuerzas Armadas y con los valores democráticos y constitucionales.</w:t>
      </w:r>
    </w:p>
    <w:p w14:paraId="2129EC0E" w14:textId="77777777" w:rsidR="00307059" w:rsidRPr="004469CF" w:rsidRDefault="00307059" w:rsidP="00307059">
      <w:pPr>
        <w:pStyle w:val="p2"/>
        <w:jc w:val="both"/>
        <w:rPr>
          <w:rFonts w:ascii="Times New Roman" w:hAnsi="Times New Roman" w:cs="Times New Roman"/>
          <w:sz w:val="28"/>
          <w:szCs w:val="28"/>
        </w:rPr>
      </w:pPr>
    </w:p>
    <w:p w14:paraId="60518D6E" w14:textId="77777777" w:rsidR="00307059" w:rsidRPr="004469CF" w:rsidRDefault="00307059" w:rsidP="00307059">
      <w:pPr>
        <w:pStyle w:val="p1"/>
        <w:jc w:val="both"/>
        <w:rPr>
          <w:rFonts w:ascii="Times New Roman" w:hAnsi="Times New Roman" w:cs="Times New Roman"/>
          <w:sz w:val="28"/>
          <w:szCs w:val="28"/>
        </w:rPr>
      </w:pPr>
      <w:r w:rsidRPr="004469CF">
        <w:rPr>
          <w:rStyle w:val="s1"/>
          <w:rFonts w:ascii="Times New Roman" w:hAnsi="Times New Roman" w:cs="Times New Roman"/>
          <w:sz w:val="28"/>
          <w:szCs w:val="28"/>
        </w:rPr>
        <w:t>Las entidades deberán estar relacionadas con las fuerzas armadas, asociar personal militar retirado, sus cónyuges y huérfanos (salvo las fundaciones), no tener ánimo de lucro, ámbito nacional, haber sido declaradas de utilidad pública.</w:t>
      </w:r>
    </w:p>
    <w:p w14:paraId="33ABA594" w14:textId="77777777" w:rsidR="00307059" w:rsidRPr="004469CF" w:rsidRDefault="00307059" w:rsidP="00307059">
      <w:pPr>
        <w:pStyle w:val="p2"/>
        <w:jc w:val="both"/>
        <w:rPr>
          <w:rFonts w:ascii="Times New Roman" w:hAnsi="Times New Roman" w:cs="Times New Roman"/>
          <w:sz w:val="28"/>
          <w:szCs w:val="28"/>
        </w:rPr>
      </w:pPr>
    </w:p>
    <w:p w14:paraId="5AFBF8D4" w14:textId="77777777" w:rsidR="00307059" w:rsidRPr="004469CF" w:rsidRDefault="00307059" w:rsidP="00307059">
      <w:pPr>
        <w:pStyle w:val="p1"/>
        <w:jc w:val="both"/>
        <w:rPr>
          <w:rFonts w:ascii="Times New Roman" w:hAnsi="Times New Roman" w:cs="Times New Roman"/>
          <w:sz w:val="28"/>
          <w:szCs w:val="28"/>
        </w:rPr>
      </w:pPr>
      <w:r w:rsidRPr="004469CF">
        <w:rPr>
          <w:rStyle w:val="s2"/>
          <w:rFonts w:ascii="Times New Roman" w:hAnsi="Times New Roman" w:cs="Times New Roman"/>
          <w:sz w:val="28"/>
          <w:szCs w:val="28"/>
        </w:rPr>
        <w:t>El procedimiento de concesión</w:t>
      </w:r>
      <w:r w:rsidRPr="004469CF">
        <w:rPr>
          <w:rStyle w:val="s1"/>
          <w:rFonts w:ascii="Times New Roman" w:hAnsi="Times New Roman" w:cs="Times New Roman"/>
          <w:sz w:val="28"/>
          <w:szCs w:val="28"/>
        </w:rPr>
        <w:t>: se tramitará en régimen de concurrencia competitiva.</w:t>
      </w:r>
    </w:p>
    <w:p w14:paraId="0F85C399" w14:textId="77777777" w:rsidR="00307059" w:rsidRPr="004469CF" w:rsidRDefault="00307059" w:rsidP="00307059">
      <w:pPr>
        <w:pStyle w:val="p2"/>
        <w:jc w:val="both"/>
        <w:rPr>
          <w:rFonts w:ascii="Times New Roman" w:hAnsi="Times New Roman" w:cs="Times New Roman"/>
          <w:sz w:val="28"/>
          <w:szCs w:val="28"/>
        </w:rPr>
      </w:pPr>
    </w:p>
    <w:p w14:paraId="19AD6B3F" w14:textId="77777777" w:rsidR="00307059" w:rsidRPr="004469CF" w:rsidRDefault="00307059" w:rsidP="00307059">
      <w:pPr>
        <w:pStyle w:val="p1"/>
        <w:jc w:val="both"/>
        <w:rPr>
          <w:rFonts w:ascii="Times New Roman" w:hAnsi="Times New Roman" w:cs="Times New Roman"/>
          <w:sz w:val="28"/>
          <w:szCs w:val="28"/>
        </w:rPr>
      </w:pPr>
      <w:r w:rsidRPr="004469CF">
        <w:rPr>
          <w:rStyle w:val="s1"/>
          <w:rFonts w:ascii="Times New Roman" w:hAnsi="Times New Roman" w:cs="Times New Roman"/>
          <w:sz w:val="28"/>
          <w:szCs w:val="28"/>
        </w:rPr>
        <w:t>Convocatorias de ayudas: por órganos competentes de la Dirección de Asistencia al Personal del Ejército de Tierra, la Dirección de Asistencia al Personal de la Armada, la Subdirección de Asistencia al Personal del Ejército del Aire y la División de Igualdad y Apoyo al Personal de la Dirección General de Personal.</w:t>
      </w:r>
    </w:p>
    <w:p w14:paraId="2CF81F3D" w14:textId="77777777" w:rsidR="00307059" w:rsidRPr="004469CF" w:rsidRDefault="00307059" w:rsidP="00307059">
      <w:pPr>
        <w:pStyle w:val="p2"/>
        <w:jc w:val="both"/>
        <w:rPr>
          <w:rFonts w:ascii="Times New Roman" w:hAnsi="Times New Roman" w:cs="Times New Roman"/>
          <w:sz w:val="28"/>
          <w:szCs w:val="28"/>
        </w:rPr>
      </w:pPr>
    </w:p>
    <w:p w14:paraId="45D32859" w14:textId="77777777" w:rsidR="00307059" w:rsidRPr="004469CF" w:rsidRDefault="00307059" w:rsidP="00307059">
      <w:pPr>
        <w:pStyle w:val="p1"/>
        <w:jc w:val="both"/>
        <w:rPr>
          <w:rFonts w:ascii="Times New Roman" w:hAnsi="Times New Roman" w:cs="Times New Roman"/>
          <w:sz w:val="28"/>
          <w:szCs w:val="28"/>
        </w:rPr>
      </w:pPr>
      <w:r w:rsidRPr="004469CF">
        <w:rPr>
          <w:rStyle w:val="s1"/>
          <w:rFonts w:ascii="Times New Roman" w:hAnsi="Times New Roman" w:cs="Times New Roman"/>
          <w:sz w:val="28"/>
          <w:szCs w:val="28"/>
        </w:rPr>
        <w:t xml:space="preserve">Se </w:t>
      </w:r>
      <w:r w:rsidRPr="004469CF">
        <w:rPr>
          <w:rStyle w:val="s2"/>
          <w:rFonts w:ascii="Times New Roman" w:hAnsi="Times New Roman" w:cs="Times New Roman"/>
          <w:sz w:val="28"/>
          <w:szCs w:val="28"/>
        </w:rPr>
        <w:t>fijan criterios y baremos</w:t>
      </w:r>
      <w:r w:rsidRPr="004469CF">
        <w:rPr>
          <w:rStyle w:val="s1"/>
          <w:rFonts w:ascii="Times New Roman" w:hAnsi="Times New Roman" w:cs="Times New Roman"/>
          <w:sz w:val="28"/>
          <w:szCs w:val="28"/>
        </w:rPr>
        <w:t xml:space="preserve"> a utilizar en la concesión de las ayudas.</w:t>
      </w:r>
    </w:p>
    <w:p w14:paraId="50BFB938" w14:textId="77777777" w:rsidR="00307059" w:rsidRPr="004469CF" w:rsidRDefault="00307059" w:rsidP="00307059">
      <w:pPr>
        <w:pStyle w:val="p2"/>
        <w:jc w:val="both"/>
        <w:rPr>
          <w:rFonts w:ascii="Times New Roman" w:hAnsi="Times New Roman" w:cs="Times New Roman"/>
          <w:sz w:val="28"/>
          <w:szCs w:val="28"/>
        </w:rPr>
      </w:pPr>
    </w:p>
    <w:p w14:paraId="66317FD8" w14:textId="206AA09A" w:rsidR="00307059" w:rsidRPr="004469CF" w:rsidRDefault="00307059" w:rsidP="00307059">
      <w:pPr>
        <w:pStyle w:val="p1"/>
        <w:jc w:val="both"/>
        <w:rPr>
          <w:rFonts w:ascii="Times New Roman" w:hAnsi="Times New Roman" w:cs="Times New Roman"/>
          <w:sz w:val="28"/>
          <w:szCs w:val="28"/>
        </w:rPr>
      </w:pPr>
      <w:r w:rsidRPr="004469CF">
        <w:rPr>
          <w:rStyle w:val="s1"/>
          <w:rFonts w:ascii="Times New Roman" w:hAnsi="Times New Roman" w:cs="Times New Roman"/>
          <w:sz w:val="28"/>
          <w:szCs w:val="28"/>
        </w:rPr>
        <w:t xml:space="preserve">Las subvenciones serán </w:t>
      </w:r>
      <w:r w:rsidRPr="004469CF">
        <w:rPr>
          <w:rStyle w:val="s2"/>
          <w:rFonts w:ascii="Times New Roman" w:hAnsi="Times New Roman" w:cs="Times New Roman"/>
          <w:sz w:val="28"/>
          <w:szCs w:val="28"/>
        </w:rPr>
        <w:t>compatibles</w:t>
      </w:r>
      <w:r w:rsidRPr="004469CF">
        <w:rPr>
          <w:rStyle w:val="s1"/>
          <w:rFonts w:ascii="Times New Roman" w:hAnsi="Times New Roman" w:cs="Times New Roman"/>
          <w:sz w:val="28"/>
          <w:szCs w:val="28"/>
        </w:rPr>
        <w:t xml:space="preserve"> con cualesquiera otras subvenciones, ayudas, ingresos o recursos para la misma finalidad</w:t>
      </w:r>
      <w:r w:rsidR="00F14C9F" w:rsidRPr="004469CF">
        <w:rPr>
          <w:rStyle w:val="s1"/>
          <w:rFonts w:ascii="Times New Roman" w:hAnsi="Times New Roman" w:cs="Times New Roman"/>
          <w:sz w:val="28"/>
          <w:szCs w:val="28"/>
        </w:rPr>
        <w:t>.</w:t>
      </w:r>
    </w:p>
    <w:p w14:paraId="359FF5BC" w14:textId="54A2F334" w:rsidR="00F14C9F" w:rsidRPr="004469CF" w:rsidRDefault="00F14C9F" w:rsidP="00307059">
      <w:pPr>
        <w:pStyle w:val="p1"/>
        <w:jc w:val="both"/>
        <w:rPr>
          <w:rFonts w:ascii="Times New Roman" w:hAnsi="Times New Roman" w:cs="Times New Roman"/>
          <w:sz w:val="28"/>
          <w:szCs w:val="28"/>
        </w:rPr>
      </w:pPr>
    </w:p>
    <w:p w14:paraId="0A58FDCA" w14:textId="0744A1FE" w:rsidR="00F14C9F" w:rsidRPr="004469CF" w:rsidRDefault="00F14C9F" w:rsidP="00014942">
      <w:pPr>
        <w:pStyle w:val="p1"/>
        <w:jc w:val="right"/>
        <w:rPr>
          <w:rFonts w:ascii="Times New Roman" w:hAnsi="Times New Roman" w:cs="Times New Roman"/>
          <w:sz w:val="28"/>
          <w:szCs w:val="28"/>
        </w:rPr>
      </w:pPr>
      <w:r w:rsidRPr="004469CF">
        <w:rPr>
          <w:rFonts w:ascii="Times New Roman" w:hAnsi="Times New Roman" w:cs="Times New Roman"/>
          <w:sz w:val="28"/>
          <w:szCs w:val="28"/>
        </w:rPr>
        <w:tab/>
      </w:r>
      <w:r w:rsidRPr="004469CF">
        <w:rPr>
          <w:rFonts w:ascii="Times New Roman" w:hAnsi="Times New Roman" w:cs="Times New Roman"/>
          <w:sz w:val="28"/>
          <w:szCs w:val="28"/>
        </w:rPr>
        <w:tab/>
      </w:r>
      <w:r w:rsidRPr="004469CF">
        <w:rPr>
          <w:rFonts w:ascii="Times New Roman" w:hAnsi="Times New Roman" w:cs="Times New Roman"/>
          <w:sz w:val="28"/>
          <w:szCs w:val="28"/>
        </w:rPr>
        <w:tab/>
      </w:r>
      <w:r w:rsidRPr="004469CF">
        <w:rPr>
          <w:rFonts w:ascii="Times New Roman" w:hAnsi="Times New Roman" w:cs="Times New Roman"/>
          <w:sz w:val="28"/>
          <w:szCs w:val="28"/>
        </w:rPr>
        <w:tab/>
      </w:r>
      <w:r w:rsidRPr="004469CF">
        <w:rPr>
          <w:rFonts w:ascii="Times New Roman" w:hAnsi="Times New Roman" w:cs="Times New Roman"/>
          <w:sz w:val="28"/>
          <w:szCs w:val="28"/>
        </w:rPr>
        <w:tab/>
      </w:r>
      <w:r w:rsidRPr="004469CF">
        <w:rPr>
          <w:rFonts w:ascii="Times New Roman" w:hAnsi="Times New Roman" w:cs="Times New Roman"/>
          <w:sz w:val="28"/>
          <w:szCs w:val="28"/>
        </w:rPr>
        <w:tab/>
      </w:r>
      <w:r w:rsidRPr="004469CF">
        <w:rPr>
          <w:rFonts w:ascii="Times New Roman" w:hAnsi="Times New Roman" w:cs="Times New Roman"/>
          <w:sz w:val="28"/>
          <w:szCs w:val="28"/>
        </w:rPr>
        <w:tab/>
      </w:r>
      <w:r w:rsidR="00EE13C2" w:rsidRPr="004469CF">
        <w:rPr>
          <w:rFonts w:ascii="Times New Roman" w:hAnsi="Times New Roman" w:cs="Times New Roman"/>
          <w:sz w:val="28"/>
          <w:szCs w:val="28"/>
        </w:rPr>
        <w:t>10</w:t>
      </w:r>
      <w:r w:rsidRPr="004469CF">
        <w:rPr>
          <w:rFonts w:ascii="Times New Roman" w:hAnsi="Times New Roman" w:cs="Times New Roman"/>
          <w:sz w:val="28"/>
          <w:szCs w:val="28"/>
        </w:rPr>
        <w:t xml:space="preserve"> de diciembre de 2019</w:t>
      </w:r>
      <w:r w:rsidR="00014942" w:rsidRPr="004469CF">
        <w:rPr>
          <w:rFonts w:ascii="Times New Roman" w:hAnsi="Times New Roman" w:cs="Times New Roman"/>
          <w:sz w:val="28"/>
          <w:szCs w:val="28"/>
        </w:rPr>
        <w:t>.</w:t>
      </w:r>
    </w:p>
    <w:p w14:paraId="39442B79" w14:textId="77777777" w:rsidR="00014942" w:rsidRPr="004469CF" w:rsidRDefault="00014942" w:rsidP="00014942">
      <w:pPr>
        <w:pStyle w:val="p1"/>
        <w:jc w:val="right"/>
        <w:rPr>
          <w:rFonts w:ascii="Times New Roman" w:hAnsi="Times New Roman" w:cs="Times New Roman"/>
          <w:sz w:val="28"/>
          <w:szCs w:val="28"/>
        </w:rPr>
      </w:pPr>
    </w:p>
    <w:p w14:paraId="6F07495D" w14:textId="7635B51F" w:rsidR="00014942" w:rsidRPr="004469CF" w:rsidRDefault="00014942" w:rsidP="00014942">
      <w:pPr>
        <w:pStyle w:val="p1"/>
        <w:jc w:val="center"/>
        <w:rPr>
          <w:rFonts w:ascii="Times New Roman" w:hAnsi="Times New Roman" w:cs="Times New Roman"/>
          <w:b/>
          <w:sz w:val="28"/>
          <w:szCs w:val="28"/>
        </w:rPr>
      </w:pPr>
      <w:r w:rsidRPr="004469CF">
        <w:rPr>
          <w:rFonts w:ascii="Times New Roman" w:hAnsi="Times New Roman" w:cs="Times New Roman"/>
          <w:b/>
          <w:sz w:val="28"/>
          <w:szCs w:val="28"/>
        </w:rPr>
        <w:t>CERMI</w:t>
      </w:r>
    </w:p>
    <w:p w14:paraId="0596688E" w14:textId="5FB5EBEB" w:rsidR="00014942" w:rsidRPr="004469CF" w:rsidRDefault="008E4EF9" w:rsidP="00014942">
      <w:pPr>
        <w:pStyle w:val="p1"/>
        <w:jc w:val="center"/>
        <w:rPr>
          <w:rFonts w:ascii="Times New Roman" w:hAnsi="Times New Roman" w:cs="Times New Roman"/>
          <w:b/>
          <w:sz w:val="28"/>
          <w:szCs w:val="28"/>
        </w:rPr>
      </w:pPr>
      <w:hyperlink r:id="rId5" w:history="1">
        <w:r w:rsidR="00014942" w:rsidRPr="004469CF">
          <w:rPr>
            <w:rStyle w:val="Hipervnculo"/>
            <w:rFonts w:ascii="Times New Roman" w:hAnsi="Times New Roman" w:cs="Times New Roman"/>
            <w:b/>
            <w:sz w:val="28"/>
            <w:szCs w:val="28"/>
          </w:rPr>
          <w:t>www.cermi.es</w:t>
        </w:r>
      </w:hyperlink>
    </w:p>
    <w:p w14:paraId="0572668B" w14:textId="77777777" w:rsidR="00014942" w:rsidRPr="004469CF" w:rsidRDefault="00014942" w:rsidP="00014942">
      <w:pPr>
        <w:pStyle w:val="p1"/>
        <w:jc w:val="right"/>
        <w:rPr>
          <w:rFonts w:ascii="Times New Roman" w:hAnsi="Times New Roman" w:cs="Times New Roman"/>
          <w:sz w:val="28"/>
          <w:szCs w:val="28"/>
        </w:rPr>
      </w:pPr>
    </w:p>
    <w:p w14:paraId="14026DE5" w14:textId="77777777" w:rsidR="00307059" w:rsidRPr="004469CF" w:rsidRDefault="00307059" w:rsidP="00307059">
      <w:pPr>
        <w:pStyle w:val="p2"/>
        <w:jc w:val="both"/>
        <w:rPr>
          <w:rFonts w:ascii="Times New Roman" w:hAnsi="Times New Roman" w:cs="Times New Roman"/>
          <w:sz w:val="28"/>
          <w:szCs w:val="28"/>
        </w:rPr>
      </w:pPr>
    </w:p>
    <w:p w14:paraId="7428B951" w14:textId="77777777" w:rsidR="009D3315" w:rsidRPr="004469CF" w:rsidRDefault="009D3315" w:rsidP="00307059">
      <w:pPr>
        <w:jc w:val="both"/>
        <w:rPr>
          <w:rFonts w:ascii="Times New Roman" w:hAnsi="Times New Roman" w:cs="Times New Roman"/>
          <w:sz w:val="28"/>
          <w:szCs w:val="28"/>
        </w:rPr>
      </w:pPr>
    </w:p>
    <w:sectPr w:rsidR="009D3315" w:rsidRPr="004469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Display">
    <w:altName w:val="Cambria"/>
    <w:panose1 w:val="00000000000000000000"/>
    <w:charset w:val="00"/>
    <w:family w:val="roman"/>
    <w:notTrueType/>
    <w:pitch w:val="default"/>
  </w:font>
  <w:font w:name="Yu Mincho">
    <w:altName w:val="游明朝"/>
    <w:panose1 w:val="00000000000000000000"/>
    <w:charset w:val="80"/>
    <w:family w:val="roman"/>
    <w:notTrueType/>
    <w:pitch w:val="default"/>
  </w:font>
  <w:font w:name=".SFUIDisplay-Regular">
    <w:altName w:val="Cambria"/>
    <w:panose1 w:val="00000000000000000000"/>
    <w:charset w:val="00"/>
    <w:family w:val="roman"/>
    <w:notTrueType/>
    <w:pitch w:val="default"/>
  </w:font>
  <w:font w:name=".SFUIDisplay-Bold">
    <w:altName w:val="Cambria"/>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Helvetica">
    <w:panose1 w:val="020B05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59"/>
    <w:rsid w:val="00014942"/>
    <w:rsid w:val="00307059"/>
    <w:rsid w:val="004469CF"/>
    <w:rsid w:val="008E4EF9"/>
    <w:rsid w:val="009D3315"/>
    <w:rsid w:val="00C372EF"/>
    <w:rsid w:val="00EE13C2"/>
    <w:rsid w:val="00F14C9F"/>
    <w:rsid w:val="00FB191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6B452"/>
  <w15:docId w15:val="{704B03B3-6A79-4E2A-8E78-542E8A30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307059"/>
    <w:pPr>
      <w:spacing w:after="0" w:line="240" w:lineRule="auto"/>
      <w:ind w:left="480"/>
    </w:pPr>
    <w:rPr>
      <w:rFonts w:ascii=".SF UI Display" w:eastAsiaTheme="minorEastAsia" w:hAnsi=".SF UI Display" w:cs="Calibri"/>
      <w:color w:val="454545"/>
      <w:sz w:val="50"/>
      <w:szCs w:val="50"/>
      <w:lang w:eastAsia="es-ES"/>
    </w:rPr>
  </w:style>
  <w:style w:type="paragraph" w:customStyle="1" w:styleId="p2">
    <w:name w:val="p2"/>
    <w:basedOn w:val="Normal"/>
    <w:rsid w:val="00307059"/>
    <w:pPr>
      <w:spacing w:after="0" w:line="240" w:lineRule="auto"/>
      <w:ind w:left="480"/>
    </w:pPr>
    <w:rPr>
      <w:rFonts w:ascii=".SF UI Display" w:eastAsiaTheme="minorEastAsia" w:hAnsi=".SF UI Display" w:cs="Calibri"/>
      <w:color w:val="454545"/>
      <w:sz w:val="50"/>
      <w:szCs w:val="50"/>
      <w:lang w:eastAsia="es-ES"/>
    </w:rPr>
  </w:style>
  <w:style w:type="character" w:customStyle="1" w:styleId="s1">
    <w:name w:val="s1"/>
    <w:basedOn w:val="Fuentedeprrafopredeter"/>
    <w:rsid w:val="00307059"/>
    <w:rPr>
      <w:rFonts w:ascii=".SFUIDisplay-Regular" w:hAnsi=".SFUIDisplay-Regular" w:hint="default"/>
      <w:b w:val="0"/>
      <w:bCs w:val="0"/>
      <w:i w:val="0"/>
      <w:iCs w:val="0"/>
      <w:sz w:val="66"/>
      <w:szCs w:val="66"/>
    </w:rPr>
  </w:style>
  <w:style w:type="character" w:customStyle="1" w:styleId="s2">
    <w:name w:val="s2"/>
    <w:basedOn w:val="Fuentedeprrafopredeter"/>
    <w:rsid w:val="00307059"/>
    <w:rPr>
      <w:rFonts w:ascii=".SFUIDisplay-Bold" w:hAnsi=".SFUIDisplay-Bold" w:hint="default"/>
      <w:b/>
      <w:bCs/>
      <w:i w:val="0"/>
      <w:iCs w:val="0"/>
      <w:sz w:val="66"/>
      <w:szCs w:val="66"/>
      <w:u w:val="single"/>
    </w:rPr>
  </w:style>
  <w:style w:type="character" w:customStyle="1" w:styleId="s3">
    <w:name w:val="s3"/>
    <w:basedOn w:val="Fuentedeprrafopredeter"/>
    <w:rsid w:val="00307059"/>
    <w:rPr>
      <w:rFonts w:ascii=".SFUIDisplay-Bold" w:hAnsi=".SFUIDisplay-Bold" w:hint="default"/>
      <w:b/>
      <w:bCs/>
      <w:i w:val="0"/>
      <w:iCs w:val="0"/>
      <w:sz w:val="66"/>
      <w:szCs w:val="66"/>
    </w:rPr>
  </w:style>
  <w:style w:type="character" w:customStyle="1" w:styleId="apple-converted-space">
    <w:name w:val="apple-converted-space"/>
    <w:basedOn w:val="Fuentedeprrafopredeter"/>
    <w:rsid w:val="00307059"/>
  </w:style>
  <w:style w:type="paragraph" w:styleId="Textodeglobo">
    <w:name w:val="Balloon Text"/>
    <w:basedOn w:val="Normal"/>
    <w:link w:val="TextodegloboCar"/>
    <w:uiPriority w:val="99"/>
    <w:semiHidden/>
    <w:unhideWhenUsed/>
    <w:rsid w:val="0001494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4942"/>
    <w:rPr>
      <w:rFonts w:ascii="Lucida Grande" w:hAnsi="Lucida Grande" w:cs="Lucida Grande"/>
      <w:sz w:val="18"/>
      <w:szCs w:val="18"/>
    </w:rPr>
  </w:style>
  <w:style w:type="character" w:styleId="Hipervnculo">
    <w:name w:val="Hyperlink"/>
    <w:basedOn w:val="Fuentedeprrafopredeter"/>
    <w:uiPriority w:val="99"/>
    <w:unhideWhenUsed/>
    <w:rsid w:val="00014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rmi.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dc:creator>
  <cp:keywords/>
  <dc:description/>
  <cp:lastModifiedBy>Abella Jover, Blanca</cp:lastModifiedBy>
  <cp:revision>2</cp:revision>
  <dcterms:created xsi:type="dcterms:W3CDTF">2019-12-12T09:35:00Z</dcterms:created>
  <dcterms:modified xsi:type="dcterms:W3CDTF">2019-12-12T09:35:00Z</dcterms:modified>
</cp:coreProperties>
</file>