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778B" w14:textId="2EA5C11C" w:rsidR="00447D75" w:rsidRPr="00942376" w:rsidRDefault="00DF24E4" w:rsidP="00DF24E4">
      <w:pPr>
        <w:jc w:val="center"/>
        <w:rPr>
          <w:rFonts w:ascii="Arial" w:hAnsi="Arial" w:cs="Arial"/>
          <w:sz w:val="24"/>
          <w:szCs w:val="24"/>
        </w:rPr>
      </w:pPr>
      <w:bookmarkStart w:id="0" w:name="_GoBack"/>
      <w:bookmarkEnd w:id="0"/>
      <w:r w:rsidRPr="00942376">
        <w:rPr>
          <w:rFonts w:ascii="Arial" w:hAnsi="Arial" w:cs="Arial"/>
          <w:noProof/>
          <w:sz w:val="24"/>
          <w:szCs w:val="24"/>
          <w:lang w:eastAsia="es-ES"/>
        </w:rPr>
        <w:drawing>
          <wp:inline distT="0" distB="0" distL="0" distR="0" wp14:anchorId="55D5A454" wp14:editId="79EC10B7">
            <wp:extent cx="1488673" cy="1197806"/>
            <wp:effectExtent l="0" t="0" r="1016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766" cy="1197881"/>
                    </a:xfrm>
                    <a:prstGeom prst="rect">
                      <a:avLst/>
                    </a:prstGeom>
                    <a:noFill/>
                    <a:ln>
                      <a:noFill/>
                    </a:ln>
                  </pic:spPr>
                </pic:pic>
              </a:graphicData>
            </a:graphic>
          </wp:inline>
        </w:drawing>
      </w:r>
    </w:p>
    <w:p w14:paraId="70848A8A" w14:textId="6389202D" w:rsidR="00447D75" w:rsidRPr="00942376" w:rsidRDefault="00DF24E4" w:rsidP="00447D75">
      <w:pPr>
        <w:pBdr>
          <w:bottom w:val="single" w:sz="12" w:space="1" w:color="auto"/>
        </w:pBdr>
        <w:jc w:val="both"/>
        <w:rPr>
          <w:rFonts w:ascii="Arial" w:hAnsi="Arial" w:cs="Arial"/>
          <w:b/>
          <w:bCs/>
          <w:sz w:val="24"/>
          <w:szCs w:val="24"/>
        </w:rPr>
      </w:pPr>
      <w:r w:rsidRPr="00942376">
        <w:rPr>
          <w:rFonts w:ascii="Arial" w:hAnsi="Arial" w:cs="Arial"/>
          <w:b/>
          <w:bCs/>
          <w:sz w:val="24"/>
          <w:szCs w:val="24"/>
        </w:rPr>
        <w:t xml:space="preserve">INFORME DEL CERMI SOBRE LOS CONTENIDOS DIRECTOS EN MATERIA DE DISCAPACIDAD DEL </w:t>
      </w:r>
      <w:r w:rsidR="00B36EE9" w:rsidRPr="00942376">
        <w:rPr>
          <w:rFonts w:ascii="Arial" w:hAnsi="Arial" w:cs="Arial"/>
          <w:b/>
          <w:bCs/>
          <w:sz w:val="24"/>
          <w:szCs w:val="24"/>
        </w:rPr>
        <w:t>REAL DECRETO-LEY 11/2020, DE 31 DE MARZO, POR EL QUE SE ADOPTAN MEDIDAS URGENTES COMPLEMENTARIAS EN EL ÁMBITO SOCIAL Y ECONÓMIC</w:t>
      </w:r>
      <w:r w:rsidRPr="00942376">
        <w:rPr>
          <w:rFonts w:ascii="Arial" w:hAnsi="Arial" w:cs="Arial"/>
          <w:b/>
          <w:bCs/>
          <w:sz w:val="24"/>
          <w:szCs w:val="24"/>
        </w:rPr>
        <w:t>O PARA HACER FRENTE AL COVID-19</w:t>
      </w:r>
    </w:p>
    <w:p w14:paraId="31D09106" w14:textId="1CF89865" w:rsidR="00DF24E4" w:rsidRPr="00942376" w:rsidRDefault="00DF24E4" w:rsidP="00447D75">
      <w:pPr>
        <w:jc w:val="both"/>
        <w:rPr>
          <w:rFonts w:ascii="Arial" w:hAnsi="Arial" w:cs="Arial"/>
          <w:bCs/>
          <w:sz w:val="24"/>
          <w:szCs w:val="24"/>
        </w:rPr>
      </w:pPr>
      <w:r w:rsidRPr="00942376">
        <w:rPr>
          <w:rFonts w:ascii="Arial" w:hAnsi="Arial" w:cs="Arial"/>
          <w:bCs/>
          <w:sz w:val="24"/>
          <w:szCs w:val="24"/>
        </w:rPr>
        <w:t xml:space="preserve">A continuación, se referencian con carácter urgente los aspectos directos en materia de discapacidad contenidos en el Real Decreto-Ley 11/20020, publicado hoy en el Boletín oficial del Estado, consecuencia de la acción propositiva del CERMI ante los poderes públicos (Gobierno de España): </w:t>
      </w:r>
    </w:p>
    <w:p w14:paraId="4F38932B" w14:textId="1CE5F7A8" w:rsidR="00B36EE9" w:rsidRPr="00942376" w:rsidRDefault="00447D75" w:rsidP="00857392">
      <w:pPr>
        <w:pStyle w:val="Prrafodelista"/>
        <w:numPr>
          <w:ilvl w:val="0"/>
          <w:numId w:val="1"/>
        </w:numPr>
        <w:jc w:val="both"/>
        <w:rPr>
          <w:rFonts w:ascii="Arial" w:hAnsi="Arial" w:cs="Arial"/>
          <w:b/>
          <w:bCs/>
          <w:i/>
          <w:iCs/>
          <w:sz w:val="24"/>
          <w:szCs w:val="24"/>
        </w:rPr>
      </w:pPr>
      <w:r w:rsidRPr="00942376">
        <w:rPr>
          <w:rFonts w:ascii="Arial" w:hAnsi="Arial" w:cs="Arial"/>
          <w:b/>
          <w:bCs/>
          <w:i/>
          <w:iCs/>
          <w:sz w:val="24"/>
          <w:szCs w:val="24"/>
          <w:u w:val="single"/>
        </w:rPr>
        <w:t>Definición de la situación de vulnerabilidad económica a efectos de obtener moratorias o ayudas en relación con la renta arrendaticia de la vivienda habitual</w:t>
      </w:r>
      <w:r w:rsidR="00B36EE9" w:rsidRPr="00942376">
        <w:rPr>
          <w:rFonts w:ascii="Arial" w:hAnsi="Arial" w:cs="Arial"/>
          <w:b/>
          <w:bCs/>
          <w:i/>
          <w:iCs/>
          <w:sz w:val="24"/>
          <w:szCs w:val="24"/>
          <w:u w:val="single"/>
        </w:rPr>
        <w:t xml:space="preserve"> (</w:t>
      </w:r>
      <w:r w:rsidR="00B36EE9" w:rsidRPr="00942376">
        <w:rPr>
          <w:rFonts w:ascii="Arial" w:hAnsi="Arial" w:cs="Arial"/>
          <w:b/>
          <w:bCs/>
          <w:i/>
          <w:iCs/>
          <w:sz w:val="24"/>
          <w:szCs w:val="24"/>
        </w:rPr>
        <w:t>Artículo 5)</w:t>
      </w:r>
    </w:p>
    <w:p w14:paraId="4D8CEAB8" w14:textId="0DECB900" w:rsidR="00B36EE9" w:rsidRPr="00942376" w:rsidRDefault="00B36EE9" w:rsidP="00447D75">
      <w:pPr>
        <w:jc w:val="both"/>
        <w:rPr>
          <w:rFonts w:ascii="Arial" w:hAnsi="Arial" w:cs="Arial"/>
          <w:b/>
          <w:bCs/>
          <w:sz w:val="24"/>
          <w:szCs w:val="24"/>
        </w:rPr>
      </w:pPr>
      <w:r w:rsidRPr="00942376">
        <w:rPr>
          <w:rFonts w:ascii="Arial" w:hAnsi="Arial" w:cs="Arial"/>
          <w:b/>
          <w:bCs/>
          <w:sz w:val="24"/>
          <w:szCs w:val="24"/>
        </w:rPr>
        <w:t>A efectos de la determinación de los</w:t>
      </w:r>
      <w:r w:rsidR="00447D75" w:rsidRPr="00942376">
        <w:rPr>
          <w:rFonts w:ascii="Arial" w:hAnsi="Arial" w:cs="Arial"/>
          <w:b/>
          <w:bCs/>
          <w:sz w:val="24"/>
          <w:szCs w:val="24"/>
        </w:rPr>
        <w:t xml:space="preserve"> supuestos de vulnerabilidad económica a consecuencia de la emergencia sanitaria ocasionada por el COVID-19</w:t>
      </w:r>
      <w:r w:rsidRPr="00942376">
        <w:rPr>
          <w:rFonts w:ascii="Arial" w:hAnsi="Arial" w:cs="Arial"/>
          <w:b/>
          <w:bCs/>
          <w:sz w:val="24"/>
          <w:szCs w:val="24"/>
        </w:rPr>
        <w:t xml:space="preserve">, </w:t>
      </w:r>
      <w:bookmarkStart w:id="1" w:name="_Hlk36635051"/>
      <w:r w:rsidRPr="00942376">
        <w:rPr>
          <w:rFonts w:ascii="Arial" w:hAnsi="Arial" w:cs="Arial"/>
          <w:b/>
          <w:bCs/>
          <w:sz w:val="24"/>
          <w:szCs w:val="24"/>
        </w:rPr>
        <w:t xml:space="preserve">la discapacidad da lugar al incremento del umbral del conjunto de los ingresos de los miembros de la unidad familiar, en el mes anterior a la solicitud de la moratoria. </w:t>
      </w:r>
    </w:p>
    <w:bookmarkEnd w:id="1"/>
    <w:p w14:paraId="6A9A785E" w14:textId="3A39A8F4" w:rsidR="00984043" w:rsidRPr="00942376" w:rsidRDefault="00B36EE9" w:rsidP="00447D75">
      <w:pPr>
        <w:jc w:val="both"/>
        <w:rPr>
          <w:rFonts w:ascii="Arial" w:hAnsi="Arial" w:cs="Arial"/>
          <w:sz w:val="24"/>
          <w:szCs w:val="24"/>
        </w:rPr>
      </w:pPr>
      <w:r w:rsidRPr="00942376">
        <w:rPr>
          <w:rFonts w:ascii="Arial" w:hAnsi="Arial" w:cs="Arial"/>
          <w:sz w:val="24"/>
          <w:szCs w:val="24"/>
        </w:rPr>
        <w:t xml:space="preserve">Con carácter general, el límite </w:t>
      </w:r>
      <w:r w:rsidR="00984043" w:rsidRPr="00942376">
        <w:rPr>
          <w:rFonts w:ascii="Arial" w:hAnsi="Arial" w:cs="Arial"/>
          <w:sz w:val="24"/>
          <w:szCs w:val="24"/>
        </w:rPr>
        <w:t xml:space="preserve">es </w:t>
      </w:r>
      <w:r w:rsidRPr="00942376">
        <w:rPr>
          <w:rFonts w:ascii="Arial" w:hAnsi="Arial" w:cs="Arial"/>
          <w:sz w:val="24"/>
          <w:szCs w:val="24"/>
        </w:rPr>
        <w:t>de tres veces el Indicador Público de Renta de Efectos Múltiples mensual (en adelante IPREM) Este límite se incrementará en 0,1 veces el IPREM por cada hijo a cargo en la unidad familiar</w:t>
      </w:r>
      <w:r w:rsidR="00984043" w:rsidRPr="00942376">
        <w:rPr>
          <w:rFonts w:ascii="Arial" w:hAnsi="Arial" w:cs="Arial"/>
          <w:sz w:val="24"/>
          <w:szCs w:val="24"/>
        </w:rPr>
        <w:t xml:space="preserve">, en </w:t>
      </w:r>
      <w:r w:rsidRPr="00942376">
        <w:rPr>
          <w:rFonts w:ascii="Arial" w:hAnsi="Arial" w:cs="Arial"/>
          <w:sz w:val="24"/>
          <w:szCs w:val="24"/>
        </w:rPr>
        <w:t>0,15 veces el IPREM por cada hijo en el caso de unidad familiar monoparental</w:t>
      </w:r>
      <w:r w:rsidR="00984043" w:rsidRPr="00942376">
        <w:rPr>
          <w:rFonts w:ascii="Arial" w:hAnsi="Arial" w:cs="Arial"/>
          <w:sz w:val="24"/>
          <w:szCs w:val="24"/>
        </w:rPr>
        <w:t xml:space="preserve"> y </w:t>
      </w:r>
      <w:r w:rsidRPr="00942376">
        <w:rPr>
          <w:rFonts w:ascii="Arial" w:hAnsi="Arial" w:cs="Arial"/>
          <w:sz w:val="24"/>
          <w:szCs w:val="24"/>
        </w:rPr>
        <w:t xml:space="preserve">en 0,1 veces el IPREM por cada persona mayor de 65 años miembro de la unidad familiar. </w:t>
      </w:r>
    </w:p>
    <w:p w14:paraId="13C1692A" w14:textId="77777777" w:rsidR="00984043" w:rsidRPr="00942376" w:rsidRDefault="00B36EE9" w:rsidP="00447D75">
      <w:pPr>
        <w:jc w:val="both"/>
        <w:rPr>
          <w:rFonts w:ascii="Arial" w:hAnsi="Arial" w:cs="Arial"/>
          <w:b/>
          <w:bCs/>
          <w:sz w:val="24"/>
          <w:szCs w:val="24"/>
        </w:rPr>
      </w:pPr>
      <w:r w:rsidRPr="00942376">
        <w:rPr>
          <w:rFonts w:ascii="Arial" w:hAnsi="Arial" w:cs="Arial"/>
          <w:sz w:val="24"/>
          <w:szCs w:val="24"/>
        </w:rPr>
        <w:t xml:space="preserve">En </w:t>
      </w:r>
      <w:r w:rsidR="00984043" w:rsidRPr="00942376">
        <w:rPr>
          <w:rFonts w:ascii="Arial" w:hAnsi="Arial" w:cs="Arial"/>
          <w:sz w:val="24"/>
          <w:szCs w:val="24"/>
        </w:rPr>
        <w:t xml:space="preserve">el </w:t>
      </w:r>
      <w:r w:rsidRPr="00942376">
        <w:rPr>
          <w:rFonts w:ascii="Arial" w:hAnsi="Arial" w:cs="Arial"/>
          <w:sz w:val="24"/>
          <w:szCs w:val="24"/>
        </w:rPr>
        <w:t xml:space="preserve">caso de que alguno de los </w:t>
      </w:r>
      <w:r w:rsidRPr="00942376">
        <w:rPr>
          <w:rFonts w:ascii="Arial" w:hAnsi="Arial" w:cs="Arial"/>
          <w:b/>
          <w:bCs/>
          <w:sz w:val="24"/>
          <w:szCs w:val="24"/>
        </w:rPr>
        <w:t xml:space="preserve">miembros de la unidad familiar tenga declarada discapacidad superior al 33 por ciento, situación de dependencia o enfermedad que le incapacite acreditadamente de forma permanente para realizar una actividad laboral, </w:t>
      </w:r>
      <w:r w:rsidRPr="00942376">
        <w:rPr>
          <w:rFonts w:ascii="Arial" w:hAnsi="Arial" w:cs="Arial"/>
          <w:b/>
          <w:bCs/>
          <w:sz w:val="24"/>
          <w:szCs w:val="24"/>
          <w:u w:val="single"/>
        </w:rPr>
        <w:t>el límite será de cuatro veces el IPREM, sin perjuicio de los incrementos acumulados por hijo a cargo.</w:t>
      </w:r>
    </w:p>
    <w:p w14:paraId="4D81E999" w14:textId="7DEC30EB" w:rsidR="00B36EE9" w:rsidRPr="00942376" w:rsidRDefault="00B36EE9" w:rsidP="00447D75">
      <w:pPr>
        <w:jc w:val="both"/>
        <w:rPr>
          <w:rFonts w:ascii="Arial" w:hAnsi="Arial" w:cs="Arial"/>
          <w:b/>
          <w:bCs/>
          <w:sz w:val="24"/>
          <w:szCs w:val="24"/>
          <w:u w:val="single"/>
        </w:rPr>
      </w:pPr>
      <w:r w:rsidRPr="00942376">
        <w:rPr>
          <w:rFonts w:ascii="Arial" w:hAnsi="Arial" w:cs="Arial"/>
          <w:sz w:val="24"/>
          <w:szCs w:val="24"/>
        </w:rPr>
        <w:t xml:space="preserve">En el caso de que la persona obligada a pagar la renta arrendaticia sea </w:t>
      </w:r>
      <w:r w:rsidRPr="00942376">
        <w:rPr>
          <w:rFonts w:ascii="Arial" w:hAnsi="Arial" w:cs="Arial"/>
          <w:b/>
          <w:bCs/>
          <w:sz w:val="24"/>
          <w:szCs w:val="24"/>
        </w:rPr>
        <w:t>persona con parálisis cerebral, con enfermedad mental, o con discapacidad intelectual, con un grado de discapacidad reconocido igual o superior al 33 por ciento, o persona con discapacidad física o sensorial, con un grado de discapacidad reconocida igual o superior al 65 por cient</w:t>
      </w:r>
      <w:r w:rsidRPr="00942376">
        <w:rPr>
          <w:rFonts w:ascii="Arial" w:hAnsi="Arial" w:cs="Arial"/>
          <w:sz w:val="24"/>
          <w:szCs w:val="24"/>
        </w:rPr>
        <w:t>o</w:t>
      </w:r>
      <w:r w:rsidRPr="00942376">
        <w:rPr>
          <w:rFonts w:ascii="Arial" w:hAnsi="Arial" w:cs="Arial"/>
          <w:b/>
          <w:bCs/>
          <w:sz w:val="24"/>
          <w:szCs w:val="24"/>
        </w:rPr>
        <w:t xml:space="preserve">, así como en los casos de enfermedad grave que incapacite </w:t>
      </w:r>
      <w:r w:rsidRPr="00942376">
        <w:rPr>
          <w:rFonts w:ascii="Arial" w:hAnsi="Arial" w:cs="Arial"/>
          <w:b/>
          <w:bCs/>
          <w:sz w:val="24"/>
          <w:szCs w:val="24"/>
        </w:rPr>
        <w:lastRenderedPageBreak/>
        <w:t>acreditadamente, a la persona o a su cuidador, para realizar una actividad laboral</w:t>
      </w:r>
      <w:r w:rsidRPr="00942376">
        <w:rPr>
          <w:rFonts w:ascii="Arial" w:hAnsi="Arial" w:cs="Arial"/>
          <w:b/>
          <w:bCs/>
          <w:sz w:val="24"/>
          <w:szCs w:val="24"/>
          <w:u w:val="single"/>
        </w:rPr>
        <w:t>, el límite será de cinco veces el IPREM.</w:t>
      </w:r>
    </w:p>
    <w:p w14:paraId="2CA9BA91" w14:textId="2913A56F" w:rsidR="00447D75" w:rsidRPr="00942376" w:rsidRDefault="00447D75" w:rsidP="00447D75">
      <w:pPr>
        <w:jc w:val="both"/>
        <w:rPr>
          <w:rFonts w:ascii="Arial" w:hAnsi="Arial" w:cs="Arial"/>
          <w:sz w:val="24"/>
          <w:szCs w:val="24"/>
        </w:rPr>
      </w:pPr>
      <w:r w:rsidRPr="00942376">
        <w:rPr>
          <w:rFonts w:ascii="Arial" w:hAnsi="Arial" w:cs="Arial"/>
          <w:sz w:val="24"/>
          <w:szCs w:val="24"/>
        </w:rPr>
        <w:t>No se entenderá que concurren los supuestos de vulnerabilidad económica a consecuencia de la emergencia sanitaria ocasionada por el COVID-19 a los efectos de obtener moratorias o ayudas en relación con la renta arrendaticia de la vivienda habitual cuando la persona arrendataria o cualquiera de las personas que componen la unidad familiar que habita aquella sea propietaria o usufructuaria de alguna vivienda en España. Se considerará que no concurren estas circunstancias</w:t>
      </w:r>
      <w:r w:rsidR="00984043" w:rsidRPr="00942376">
        <w:rPr>
          <w:rFonts w:ascii="Arial" w:hAnsi="Arial" w:cs="Arial"/>
          <w:sz w:val="24"/>
          <w:szCs w:val="24"/>
        </w:rPr>
        <w:t xml:space="preserve">, entre otros supuestos, </w:t>
      </w:r>
      <w:r w:rsidRPr="00942376">
        <w:rPr>
          <w:rFonts w:ascii="Arial" w:hAnsi="Arial" w:cs="Arial"/>
          <w:sz w:val="24"/>
          <w:szCs w:val="24"/>
        </w:rPr>
        <w:t>cuando la vivienda resulte inaccesible por razón de discapacidad de su titular o de alguna de las personas que conforman la unidad de convivencia.</w:t>
      </w:r>
    </w:p>
    <w:p w14:paraId="0D2FA460" w14:textId="08C40D15" w:rsidR="00857392" w:rsidRPr="00942376" w:rsidRDefault="00447D75" w:rsidP="00447D75">
      <w:pPr>
        <w:pStyle w:val="Prrafodelista"/>
        <w:numPr>
          <w:ilvl w:val="0"/>
          <w:numId w:val="1"/>
        </w:numPr>
        <w:jc w:val="both"/>
        <w:rPr>
          <w:rFonts w:ascii="Arial" w:hAnsi="Arial" w:cs="Arial"/>
          <w:b/>
          <w:bCs/>
          <w:i/>
          <w:iCs/>
          <w:sz w:val="24"/>
          <w:szCs w:val="24"/>
          <w:u w:val="single"/>
        </w:rPr>
      </w:pPr>
      <w:r w:rsidRPr="00942376">
        <w:rPr>
          <w:rFonts w:ascii="Arial" w:hAnsi="Arial" w:cs="Arial"/>
          <w:b/>
          <w:bCs/>
          <w:i/>
          <w:iCs/>
          <w:sz w:val="24"/>
          <w:szCs w:val="24"/>
          <w:u w:val="single"/>
        </w:rPr>
        <w:t xml:space="preserve">Definición de vulnerabilidad económica a los efectos de la moratoria hipotecaria y del crédito de financiación no hipotecaria. </w:t>
      </w:r>
      <w:r w:rsidR="00857392" w:rsidRPr="00942376">
        <w:rPr>
          <w:rFonts w:ascii="Arial" w:hAnsi="Arial" w:cs="Arial"/>
          <w:b/>
          <w:bCs/>
          <w:i/>
          <w:iCs/>
          <w:sz w:val="24"/>
          <w:szCs w:val="24"/>
          <w:u w:val="single"/>
        </w:rPr>
        <w:t>(Artículo 16)</w:t>
      </w:r>
    </w:p>
    <w:p w14:paraId="180EE387" w14:textId="7762E86E" w:rsidR="00857392" w:rsidRPr="00942376" w:rsidRDefault="00857392" w:rsidP="00857392">
      <w:pPr>
        <w:jc w:val="both"/>
        <w:rPr>
          <w:rFonts w:ascii="Arial" w:hAnsi="Arial" w:cs="Arial"/>
          <w:b/>
          <w:bCs/>
          <w:sz w:val="24"/>
          <w:szCs w:val="24"/>
        </w:rPr>
      </w:pPr>
      <w:r w:rsidRPr="00942376">
        <w:rPr>
          <w:rFonts w:ascii="Arial" w:hAnsi="Arial" w:cs="Arial"/>
          <w:b/>
          <w:bCs/>
          <w:sz w:val="24"/>
          <w:szCs w:val="24"/>
        </w:rPr>
        <w:t xml:space="preserve">A efectos de la determinación de los </w:t>
      </w:r>
      <w:r w:rsidR="00447D75" w:rsidRPr="00942376">
        <w:rPr>
          <w:rFonts w:ascii="Arial" w:hAnsi="Arial" w:cs="Arial"/>
          <w:b/>
          <w:bCs/>
          <w:sz w:val="24"/>
          <w:szCs w:val="24"/>
        </w:rPr>
        <w:t>supuestos de vulnerabilidad económica a consecuencia de la emergencia sanitaria ocasionada por el COVID-19</w:t>
      </w:r>
      <w:r w:rsidRPr="00942376">
        <w:rPr>
          <w:rFonts w:ascii="Arial" w:hAnsi="Arial" w:cs="Arial"/>
          <w:b/>
          <w:bCs/>
          <w:sz w:val="24"/>
          <w:szCs w:val="24"/>
        </w:rPr>
        <w:t>, así mismo,</w:t>
      </w:r>
      <w:r w:rsidR="00447D75" w:rsidRPr="00942376">
        <w:rPr>
          <w:rFonts w:ascii="Arial" w:hAnsi="Arial" w:cs="Arial"/>
          <w:b/>
          <w:bCs/>
          <w:sz w:val="24"/>
          <w:szCs w:val="24"/>
        </w:rPr>
        <w:t xml:space="preserve"> </w:t>
      </w:r>
      <w:r w:rsidRPr="00942376">
        <w:rPr>
          <w:rFonts w:ascii="Arial" w:hAnsi="Arial" w:cs="Arial"/>
          <w:b/>
          <w:bCs/>
          <w:sz w:val="24"/>
          <w:szCs w:val="24"/>
        </w:rPr>
        <w:t xml:space="preserve">la discapacidad da lugar al incremento del umbral del conjunto de los ingresos de los miembros de la unidad familiar, en el mes anterior a la solicitud de la moratoria. </w:t>
      </w:r>
    </w:p>
    <w:p w14:paraId="77F91D9B" w14:textId="77777777" w:rsidR="00857392" w:rsidRPr="00942376" w:rsidRDefault="00857392" w:rsidP="00447D75">
      <w:pPr>
        <w:jc w:val="both"/>
        <w:rPr>
          <w:rFonts w:ascii="Arial" w:hAnsi="Arial" w:cs="Arial"/>
          <w:sz w:val="24"/>
          <w:szCs w:val="24"/>
        </w:rPr>
      </w:pPr>
      <w:r w:rsidRPr="00942376">
        <w:rPr>
          <w:rFonts w:ascii="Arial" w:hAnsi="Arial" w:cs="Arial"/>
          <w:sz w:val="24"/>
          <w:szCs w:val="24"/>
        </w:rPr>
        <w:t xml:space="preserve">Con carácter general, </w:t>
      </w:r>
      <w:r w:rsidR="00447D75" w:rsidRPr="00942376">
        <w:rPr>
          <w:rFonts w:ascii="Arial" w:hAnsi="Arial" w:cs="Arial"/>
          <w:sz w:val="24"/>
          <w:szCs w:val="24"/>
        </w:rPr>
        <w:t xml:space="preserve">el conjunto de los ingresos de los miembros de la unidad familiar no </w:t>
      </w:r>
      <w:r w:rsidRPr="00942376">
        <w:rPr>
          <w:rFonts w:ascii="Arial" w:hAnsi="Arial" w:cs="Arial"/>
          <w:sz w:val="24"/>
          <w:szCs w:val="24"/>
        </w:rPr>
        <w:t xml:space="preserve">puede </w:t>
      </w:r>
      <w:r w:rsidR="00447D75" w:rsidRPr="00942376">
        <w:rPr>
          <w:rFonts w:ascii="Arial" w:hAnsi="Arial" w:cs="Arial"/>
          <w:sz w:val="24"/>
          <w:szCs w:val="24"/>
        </w:rPr>
        <w:t>super</w:t>
      </w:r>
      <w:r w:rsidRPr="00942376">
        <w:rPr>
          <w:rFonts w:ascii="Arial" w:hAnsi="Arial" w:cs="Arial"/>
          <w:sz w:val="24"/>
          <w:szCs w:val="24"/>
        </w:rPr>
        <w:t xml:space="preserve">ar </w:t>
      </w:r>
      <w:r w:rsidR="00447D75" w:rsidRPr="00942376">
        <w:rPr>
          <w:rFonts w:ascii="Arial" w:hAnsi="Arial" w:cs="Arial"/>
          <w:sz w:val="24"/>
          <w:szCs w:val="24"/>
        </w:rPr>
        <w:t>el límite de tres veces el Indicador Público de Renta de Efectos Múltiples mensual (en adelante IPREM). Este límite se incrementará en 0,1 veces el IPREM por cada hijo a cargo en la unidad familiar</w:t>
      </w:r>
      <w:r w:rsidRPr="00942376">
        <w:rPr>
          <w:rFonts w:ascii="Arial" w:hAnsi="Arial" w:cs="Arial"/>
          <w:sz w:val="24"/>
          <w:szCs w:val="24"/>
        </w:rPr>
        <w:t>, en</w:t>
      </w:r>
      <w:r w:rsidR="00447D75" w:rsidRPr="00942376">
        <w:rPr>
          <w:rFonts w:ascii="Arial" w:hAnsi="Arial" w:cs="Arial"/>
          <w:sz w:val="24"/>
          <w:szCs w:val="24"/>
        </w:rPr>
        <w:t xml:space="preserve"> 0,15 veces el IPREM por cada hijo en el caso de unidad familiar monoparental</w:t>
      </w:r>
      <w:r w:rsidRPr="00942376">
        <w:rPr>
          <w:rFonts w:ascii="Arial" w:hAnsi="Arial" w:cs="Arial"/>
          <w:sz w:val="24"/>
          <w:szCs w:val="24"/>
        </w:rPr>
        <w:t xml:space="preserve"> y </w:t>
      </w:r>
      <w:r w:rsidR="00447D75" w:rsidRPr="00942376">
        <w:rPr>
          <w:rFonts w:ascii="Arial" w:hAnsi="Arial" w:cs="Arial"/>
          <w:sz w:val="24"/>
          <w:szCs w:val="24"/>
        </w:rPr>
        <w:t xml:space="preserve">en 0,1 veces el IPREM por cada persona mayor de 65 años miembro de la unidad familiar. </w:t>
      </w:r>
    </w:p>
    <w:p w14:paraId="246613BD" w14:textId="0FB25568" w:rsidR="00857392" w:rsidRPr="00942376" w:rsidRDefault="00447D75" w:rsidP="00447D75">
      <w:pPr>
        <w:jc w:val="both"/>
        <w:rPr>
          <w:rFonts w:ascii="Arial" w:hAnsi="Arial" w:cs="Arial"/>
          <w:sz w:val="24"/>
          <w:szCs w:val="24"/>
        </w:rPr>
      </w:pPr>
      <w:r w:rsidRPr="00942376">
        <w:rPr>
          <w:rFonts w:ascii="Arial" w:hAnsi="Arial" w:cs="Arial"/>
          <w:sz w:val="24"/>
          <w:szCs w:val="24"/>
        </w:rPr>
        <w:t xml:space="preserve">En caso de que alguno de los </w:t>
      </w:r>
      <w:r w:rsidRPr="00942376">
        <w:rPr>
          <w:rFonts w:ascii="Arial" w:hAnsi="Arial" w:cs="Arial"/>
          <w:b/>
          <w:bCs/>
          <w:sz w:val="24"/>
          <w:szCs w:val="24"/>
        </w:rPr>
        <w:t>miembros de la unidad familiar tenga declarada discapacidad superior al 33 por ciento, situación de dependencia o enfermedad que le incapacite acreditadamente de forma permanente para realizar una actividad laboral, el límite será de cuatro veces el IPREM</w:t>
      </w:r>
      <w:r w:rsidRPr="00942376">
        <w:rPr>
          <w:rFonts w:ascii="Arial" w:hAnsi="Arial" w:cs="Arial"/>
          <w:sz w:val="24"/>
          <w:szCs w:val="24"/>
        </w:rPr>
        <w:t xml:space="preserve">, sin perjuicio de los incrementos acumulados por hijo a cargo. </w:t>
      </w:r>
    </w:p>
    <w:p w14:paraId="53B0161A" w14:textId="57999088" w:rsidR="00447D75" w:rsidRPr="00942376" w:rsidRDefault="00447D75" w:rsidP="00447D75">
      <w:pPr>
        <w:jc w:val="both"/>
        <w:rPr>
          <w:rFonts w:ascii="Arial" w:hAnsi="Arial" w:cs="Arial"/>
          <w:b/>
          <w:bCs/>
          <w:sz w:val="24"/>
          <w:szCs w:val="24"/>
          <w:u w:val="single"/>
        </w:rPr>
      </w:pPr>
      <w:r w:rsidRPr="00942376">
        <w:rPr>
          <w:rFonts w:ascii="Arial" w:hAnsi="Arial" w:cs="Arial"/>
          <w:sz w:val="24"/>
          <w:szCs w:val="24"/>
        </w:rPr>
        <w:t xml:space="preserve">En el caso de que el deudor hipotecario sea </w:t>
      </w:r>
      <w:r w:rsidRPr="00942376">
        <w:rPr>
          <w:rFonts w:ascii="Arial" w:hAnsi="Arial" w:cs="Arial"/>
          <w:b/>
          <w:bCs/>
          <w:sz w:val="24"/>
          <w:szCs w:val="24"/>
        </w:rPr>
        <w:t xml:space="preserve">persona con parálisis cerebral, con enfermedad mental, o con discapacidad intelectual, con un grado de discapacidad reconocido igual o superior al 33 por ciento, o persona con discapacidad física o sensorial, con un grado de discapacidad reconocida igual o superior al 65 por ciento, así como en los casos de enfermedad grave que incapacite acreditadamente, a la persona o a su cuidador, para realizar una actividad laboral, </w:t>
      </w:r>
      <w:r w:rsidRPr="00942376">
        <w:rPr>
          <w:rFonts w:ascii="Arial" w:hAnsi="Arial" w:cs="Arial"/>
          <w:b/>
          <w:bCs/>
          <w:sz w:val="24"/>
          <w:szCs w:val="24"/>
          <w:u w:val="single"/>
        </w:rPr>
        <w:t>el límite previsto será de cinco veces el IPREM.</w:t>
      </w:r>
    </w:p>
    <w:p w14:paraId="08BAC3B6" w14:textId="6ABF3E4C" w:rsidR="00F1330E" w:rsidRPr="00942376" w:rsidRDefault="00F1330E" w:rsidP="00F1330E">
      <w:pPr>
        <w:pStyle w:val="Prrafodelista"/>
        <w:numPr>
          <w:ilvl w:val="0"/>
          <w:numId w:val="1"/>
        </w:numPr>
        <w:jc w:val="both"/>
        <w:rPr>
          <w:rFonts w:ascii="Arial" w:hAnsi="Arial" w:cs="Arial"/>
          <w:b/>
          <w:bCs/>
          <w:i/>
          <w:iCs/>
          <w:sz w:val="24"/>
          <w:szCs w:val="24"/>
          <w:u w:val="single"/>
        </w:rPr>
      </w:pPr>
      <w:r w:rsidRPr="00942376">
        <w:rPr>
          <w:rFonts w:ascii="Arial" w:hAnsi="Arial" w:cs="Arial"/>
          <w:b/>
          <w:bCs/>
          <w:i/>
          <w:iCs/>
          <w:sz w:val="24"/>
          <w:szCs w:val="24"/>
          <w:u w:val="single"/>
        </w:rPr>
        <w:t xml:space="preserve">Disposición adicional vigesimosegunda. Compatibilidad del subsidio por cuidado de menor y prestación por desempleo o cese de actividad durante la permanencia del estado de alarma. </w:t>
      </w:r>
    </w:p>
    <w:p w14:paraId="696C1412" w14:textId="77777777" w:rsidR="00DC7120" w:rsidRPr="00942376" w:rsidRDefault="00DC7120" w:rsidP="00F1330E">
      <w:pPr>
        <w:jc w:val="both"/>
        <w:rPr>
          <w:rFonts w:ascii="Arial" w:hAnsi="Arial" w:cs="Arial"/>
          <w:i/>
          <w:iCs/>
          <w:sz w:val="24"/>
          <w:szCs w:val="24"/>
        </w:rPr>
      </w:pPr>
      <w:r w:rsidRPr="00942376">
        <w:rPr>
          <w:rFonts w:ascii="Arial" w:hAnsi="Arial" w:cs="Arial"/>
          <w:i/>
          <w:iCs/>
          <w:sz w:val="24"/>
          <w:szCs w:val="24"/>
        </w:rPr>
        <w:lastRenderedPageBreak/>
        <w:t>“</w:t>
      </w:r>
      <w:r w:rsidR="00F1330E" w:rsidRPr="00942376">
        <w:rPr>
          <w:rFonts w:ascii="Arial" w:hAnsi="Arial" w:cs="Arial"/>
          <w:i/>
          <w:iCs/>
          <w:sz w:val="24"/>
          <w:szCs w:val="24"/>
        </w:rPr>
        <w:t xml:space="preserve">1. Durante la permanencia del estado de alarma declarado por Real Decreto 463/2020, de 14 de marzo, por el que se declara el estado de alarma para la gestión de la situación de crisis sanitaria ocasionada por el COVID-19, el subsidio por cuidado de menores afectados por cáncer u otra enfermedad grave, que vinieran percibiendo los trabajadores por cuenta ajena a 14 de marzo de 2020, no se verá afectado por la suspensión del contrato y reducción de jornada que tengan su causa en lo previsto en los artículos 22 y 23 del Real Decreto 8/2020, de 17 de marzo, de medidas urgentes extraordinarias para hacer frente al impacto económico y social del COVID-19. </w:t>
      </w:r>
    </w:p>
    <w:p w14:paraId="3EFA3EF1" w14:textId="77777777" w:rsidR="00DC7120" w:rsidRPr="00942376" w:rsidRDefault="00F1330E" w:rsidP="00F1330E">
      <w:pPr>
        <w:jc w:val="both"/>
        <w:rPr>
          <w:rFonts w:ascii="Arial" w:hAnsi="Arial" w:cs="Arial"/>
          <w:i/>
          <w:iCs/>
          <w:sz w:val="24"/>
          <w:szCs w:val="24"/>
        </w:rPr>
      </w:pPr>
      <w:r w:rsidRPr="00942376">
        <w:rPr>
          <w:rFonts w:ascii="Arial" w:hAnsi="Arial" w:cs="Arial"/>
          <w:i/>
          <w:iCs/>
          <w:sz w:val="24"/>
          <w:szCs w:val="24"/>
        </w:rPr>
        <w:t xml:space="preserve">En estos casos, el expediente de regulación temporal de empleo que tramite el empresario, ya sea por suspensión de contratos o reducción temporal de la jornada de trabajo, solo afectara al trabajador beneficiario de este subsidio en la parte de la jornada no afectada por el cuidado del menor. </w:t>
      </w:r>
    </w:p>
    <w:p w14:paraId="31C25A2E" w14:textId="77777777" w:rsidR="00DC7120" w:rsidRPr="00942376" w:rsidRDefault="00F1330E" w:rsidP="00F1330E">
      <w:pPr>
        <w:jc w:val="both"/>
        <w:rPr>
          <w:rFonts w:ascii="Arial" w:hAnsi="Arial" w:cs="Arial"/>
          <w:i/>
          <w:iCs/>
          <w:sz w:val="24"/>
          <w:szCs w:val="24"/>
        </w:rPr>
      </w:pPr>
      <w:r w:rsidRPr="00942376">
        <w:rPr>
          <w:rFonts w:ascii="Arial" w:hAnsi="Arial" w:cs="Arial"/>
          <w:i/>
          <w:iCs/>
          <w:sz w:val="24"/>
          <w:szCs w:val="24"/>
        </w:rPr>
        <w:t>Será, por tanto, compatible el percibo del subsidio por cuidado de menores afectados por cáncer u otra enfermedad grave, con la percepción de la prestación por desempleo que</w:t>
      </w:r>
      <w:r w:rsidR="00DC7120" w:rsidRPr="00942376">
        <w:rPr>
          <w:rFonts w:ascii="Arial" w:hAnsi="Arial" w:cs="Arial"/>
          <w:i/>
          <w:iCs/>
          <w:sz w:val="24"/>
          <w:szCs w:val="24"/>
        </w:rPr>
        <w:t>,</w:t>
      </w:r>
      <w:r w:rsidRPr="00942376">
        <w:rPr>
          <w:rFonts w:ascii="Arial" w:hAnsi="Arial" w:cs="Arial"/>
          <w:i/>
          <w:iCs/>
          <w:sz w:val="24"/>
          <w:szCs w:val="24"/>
        </w:rPr>
        <w:t xml:space="preserve"> como consecuencia de la reducción de la jornada, afectada por un expediente de regulación temporal de empleo, pudiera tener derecho a percibir. </w:t>
      </w:r>
    </w:p>
    <w:p w14:paraId="0EFD9767" w14:textId="77777777" w:rsidR="00DC7120" w:rsidRPr="00942376" w:rsidRDefault="00F1330E" w:rsidP="00F1330E">
      <w:pPr>
        <w:jc w:val="both"/>
        <w:rPr>
          <w:rFonts w:ascii="Arial" w:hAnsi="Arial" w:cs="Arial"/>
          <w:i/>
          <w:iCs/>
          <w:sz w:val="24"/>
          <w:szCs w:val="24"/>
        </w:rPr>
      </w:pPr>
      <w:r w:rsidRPr="00942376">
        <w:rPr>
          <w:rFonts w:ascii="Arial" w:hAnsi="Arial" w:cs="Arial"/>
          <w:i/>
          <w:iCs/>
          <w:sz w:val="24"/>
          <w:szCs w:val="24"/>
        </w:rPr>
        <w:t xml:space="preserve">A tal efecto, la empresa al tiempo de presentar la solicitud, indicará las personas que tengan reducida la jornada de trabajo como consecuencia de ser titular del subsidio por cuidado de menores afectados por cáncer u otra enfermedad grave, señalando la parte de la jornada que se ve afectada por el expediente de regulación temporal de empleo. </w:t>
      </w:r>
    </w:p>
    <w:p w14:paraId="2DBB9522" w14:textId="080A5222" w:rsidR="00F1330E" w:rsidRPr="00942376" w:rsidRDefault="00F1330E" w:rsidP="00F1330E">
      <w:pPr>
        <w:jc w:val="both"/>
        <w:rPr>
          <w:rFonts w:ascii="Arial" w:hAnsi="Arial" w:cs="Arial"/>
          <w:i/>
          <w:iCs/>
          <w:sz w:val="24"/>
          <w:szCs w:val="24"/>
          <w:u w:val="single"/>
        </w:rPr>
      </w:pPr>
      <w:r w:rsidRPr="00942376">
        <w:rPr>
          <w:rFonts w:ascii="Arial" w:hAnsi="Arial" w:cs="Arial"/>
          <w:i/>
          <w:iCs/>
          <w:sz w:val="24"/>
          <w:szCs w:val="24"/>
        </w:rPr>
        <w:t>Durante el tiempo que permanezca el estado de alarma no existirá obligación de cotizar, teniéndose el periodo por cotizado a todos los efectos.</w:t>
      </w:r>
    </w:p>
    <w:p w14:paraId="4A69BD39" w14:textId="040C6B55" w:rsidR="00857392" w:rsidRPr="00942376" w:rsidRDefault="00F1330E" w:rsidP="00447D75">
      <w:pPr>
        <w:jc w:val="both"/>
        <w:rPr>
          <w:rFonts w:ascii="Arial" w:hAnsi="Arial" w:cs="Arial"/>
          <w:i/>
          <w:iCs/>
          <w:sz w:val="24"/>
          <w:szCs w:val="24"/>
          <w:u w:val="single"/>
        </w:rPr>
      </w:pPr>
      <w:r w:rsidRPr="00942376">
        <w:rPr>
          <w:rFonts w:ascii="Arial" w:hAnsi="Arial" w:cs="Arial"/>
          <w:i/>
          <w:iCs/>
          <w:sz w:val="24"/>
          <w:szCs w:val="24"/>
        </w:rPr>
        <w:t>2. Lo dispuesto en el apartado anterior será de aplicación a los trabajadores autónomos que vinieran percibiendo el subsidio por cuidado de menores afectados por cáncer u otra enfermedad grave a 14 de marzo de 2020.</w:t>
      </w:r>
      <w:r w:rsidR="00DC7120" w:rsidRPr="00942376">
        <w:rPr>
          <w:rFonts w:ascii="Arial" w:hAnsi="Arial" w:cs="Arial"/>
          <w:i/>
          <w:iCs/>
          <w:sz w:val="24"/>
          <w:szCs w:val="24"/>
        </w:rPr>
        <w:t>”</w:t>
      </w:r>
    </w:p>
    <w:p w14:paraId="7398CFC9" w14:textId="16226972" w:rsidR="00DF24E4" w:rsidRPr="00942376" w:rsidRDefault="00857392" w:rsidP="00DF24E4">
      <w:pPr>
        <w:jc w:val="right"/>
        <w:rPr>
          <w:rFonts w:ascii="Arial" w:hAnsi="Arial" w:cs="Arial"/>
          <w:sz w:val="24"/>
          <w:szCs w:val="24"/>
        </w:rPr>
      </w:pPr>
      <w:r w:rsidRPr="00942376">
        <w:rPr>
          <w:rFonts w:ascii="Arial" w:hAnsi="Arial" w:cs="Arial"/>
          <w:sz w:val="24"/>
          <w:szCs w:val="24"/>
        </w:rPr>
        <w:tab/>
      </w:r>
      <w:r w:rsidRPr="00942376">
        <w:rPr>
          <w:rFonts w:ascii="Arial" w:hAnsi="Arial" w:cs="Arial"/>
          <w:sz w:val="24"/>
          <w:szCs w:val="24"/>
        </w:rPr>
        <w:tab/>
      </w:r>
      <w:r w:rsidRPr="00942376">
        <w:rPr>
          <w:rFonts w:ascii="Arial" w:hAnsi="Arial" w:cs="Arial"/>
          <w:sz w:val="24"/>
          <w:szCs w:val="24"/>
        </w:rPr>
        <w:tab/>
      </w:r>
      <w:r w:rsidRPr="00942376">
        <w:rPr>
          <w:rFonts w:ascii="Arial" w:hAnsi="Arial" w:cs="Arial"/>
          <w:sz w:val="24"/>
          <w:szCs w:val="24"/>
        </w:rPr>
        <w:tab/>
      </w:r>
      <w:r w:rsidRPr="00942376">
        <w:rPr>
          <w:rFonts w:ascii="Arial" w:hAnsi="Arial" w:cs="Arial"/>
          <w:sz w:val="24"/>
          <w:szCs w:val="24"/>
        </w:rPr>
        <w:tab/>
      </w:r>
      <w:r w:rsidRPr="00942376">
        <w:rPr>
          <w:rFonts w:ascii="Arial" w:hAnsi="Arial" w:cs="Arial"/>
          <w:sz w:val="24"/>
          <w:szCs w:val="24"/>
        </w:rPr>
        <w:tab/>
      </w:r>
      <w:r w:rsidRPr="00942376">
        <w:rPr>
          <w:rFonts w:ascii="Arial" w:hAnsi="Arial" w:cs="Arial"/>
          <w:sz w:val="24"/>
          <w:szCs w:val="24"/>
        </w:rPr>
        <w:tab/>
        <w:t>1 de abril de 2020</w:t>
      </w:r>
      <w:r w:rsidR="00DF24E4" w:rsidRPr="00942376">
        <w:rPr>
          <w:rFonts w:ascii="Arial" w:hAnsi="Arial" w:cs="Arial"/>
          <w:sz w:val="24"/>
          <w:szCs w:val="24"/>
        </w:rPr>
        <w:t>.</w:t>
      </w:r>
    </w:p>
    <w:p w14:paraId="1823F711" w14:textId="49E865DE" w:rsidR="00DF24E4" w:rsidRPr="00942376" w:rsidRDefault="00DF24E4" w:rsidP="00942376">
      <w:pPr>
        <w:pStyle w:val="Sinespaciado"/>
        <w:jc w:val="right"/>
        <w:rPr>
          <w:rFonts w:ascii="Arial" w:hAnsi="Arial" w:cs="Arial"/>
          <w:i/>
          <w:sz w:val="24"/>
          <w:szCs w:val="24"/>
        </w:rPr>
      </w:pPr>
      <w:r w:rsidRPr="00942376">
        <w:rPr>
          <w:rFonts w:ascii="Arial" w:hAnsi="Arial" w:cs="Arial"/>
          <w:i/>
          <w:sz w:val="24"/>
          <w:szCs w:val="24"/>
        </w:rPr>
        <w:t>Dr. Miguel Ángel Cabra de Luna</w:t>
      </w:r>
    </w:p>
    <w:p w14:paraId="008A28D9" w14:textId="17199241" w:rsidR="00DF24E4" w:rsidRPr="00942376" w:rsidRDefault="00DF24E4" w:rsidP="00942376">
      <w:pPr>
        <w:pStyle w:val="Sinespaciado"/>
        <w:jc w:val="right"/>
        <w:rPr>
          <w:rFonts w:ascii="Arial" w:hAnsi="Arial" w:cs="Arial"/>
          <w:i/>
          <w:sz w:val="24"/>
          <w:szCs w:val="24"/>
        </w:rPr>
      </w:pPr>
      <w:r w:rsidRPr="00942376">
        <w:rPr>
          <w:rFonts w:ascii="Arial" w:hAnsi="Arial" w:cs="Arial"/>
          <w:i/>
          <w:sz w:val="24"/>
          <w:szCs w:val="24"/>
        </w:rPr>
        <w:t>Dirección de los Servicios Jurídicos del CERMI Estatal</w:t>
      </w:r>
    </w:p>
    <w:p w14:paraId="48683F91" w14:textId="77777777" w:rsidR="00DF24E4" w:rsidRPr="00942376" w:rsidRDefault="00DF24E4" w:rsidP="00DF24E4">
      <w:pPr>
        <w:jc w:val="center"/>
        <w:rPr>
          <w:rFonts w:ascii="Arial" w:hAnsi="Arial" w:cs="Arial"/>
          <w:b/>
          <w:sz w:val="24"/>
          <w:szCs w:val="24"/>
        </w:rPr>
      </w:pPr>
    </w:p>
    <w:p w14:paraId="625B66BB" w14:textId="58C13001" w:rsidR="00DF24E4" w:rsidRPr="00942376" w:rsidRDefault="00DF24E4" w:rsidP="00DF24E4">
      <w:pPr>
        <w:jc w:val="center"/>
        <w:rPr>
          <w:rFonts w:ascii="Arial" w:hAnsi="Arial" w:cs="Arial"/>
          <w:b/>
          <w:sz w:val="24"/>
          <w:szCs w:val="24"/>
        </w:rPr>
      </w:pPr>
      <w:r w:rsidRPr="00942376">
        <w:rPr>
          <w:rFonts w:ascii="Arial" w:hAnsi="Arial" w:cs="Arial"/>
          <w:b/>
          <w:sz w:val="24"/>
          <w:szCs w:val="24"/>
        </w:rPr>
        <w:t>CERMI</w:t>
      </w:r>
    </w:p>
    <w:p w14:paraId="6780F198" w14:textId="16025BC9" w:rsidR="00DF24E4" w:rsidRPr="00942376" w:rsidRDefault="002531AD" w:rsidP="00DF24E4">
      <w:pPr>
        <w:jc w:val="center"/>
        <w:rPr>
          <w:rFonts w:ascii="Arial" w:hAnsi="Arial" w:cs="Arial"/>
          <w:b/>
          <w:sz w:val="24"/>
          <w:szCs w:val="24"/>
        </w:rPr>
      </w:pPr>
      <w:hyperlink r:id="rId9" w:history="1">
        <w:r w:rsidR="00DF24E4" w:rsidRPr="00942376">
          <w:rPr>
            <w:rStyle w:val="Hipervnculo"/>
            <w:rFonts w:ascii="Arial" w:hAnsi="Arial" w:cs="Arial"/>
            <w:b/>
            <w:sz w:val="24"/>
            <w:szCs w:val="24"/>
          </w:rPr>
          <w:t>www.cermi.es</w:t>
        </w:r>
      </w:hyperlink>
    </w:p>
    <w:p w14:paraId="065B83C3" w14:textId="77777777" w:rsidR="00DF24E4" w:rsidRPr="00942376" w:rsidRDefault="00DF24E4" w:rsidP="00DF24E4">
      <w:pPr>
        <w:jc w:val="center"/>
        <w:rPr>
          <w:rFonts w:ascii="Arial" w:hAnsi="Arial" w:cs="Arial"/>
          <w:b/>
          <w:sz w:val="24"/>
          <w:szCs w:val="24"/>
        </w:rPr>
      </w:pPr>
    </w:p>
    <w:p w14:paraId="5C0DC3B3" w14:textId="77777777" w:rsidR="00DF24E4" w:rsidRPr="00942376" w:rsidRDefault="00DF24E4" w:rsidP="00DF24E4">
      <w:pPr>
        <w:jc w:val="right"/>
        <w:rPr>
          <w:rFonts w:ascii="Arial" w:hAnsi="Arial" w:cs="Arial"/>
          <w:sz w:val="24"/>
          <w:szCs w:val="24"/>
        </w:rPr>
      </w:pPr>
    </w:p>
    <w:p w14:paraId="375A7749" w14:textId="77777777" w:rsidR="00447D75" w:rsidRPr="00942376" w:rsidRDefault="00447D75" w:rsidP="00447D75">
      <w:pPr>
        <w:jc w:val="both"/>
        <w:rPr>
          <w:rFonts w:ascii="Arial" w:hAnsi="Arial" w:cs="Arial"/>
          <w:sz w:val="24"/>
          <w:szCs w:val="24"/>
        </w:rPr>
      </w:pPr>
    </w:p>
    <w:sectPr w:rsidR="00447D75" w:rsidRPr="00942376">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A7F40" w14:textId="77777777" w:rsidR="002531AD" w:rsidRDefault="002531AD" w:rsidP="00DF24E4">
      <w:pPr>
        <w:spacing w:after="0" w:line="240" w:lineRule="auto"/>
      </w:pPr>
      <w:r>
        <w:separator/>
      </w:r>
    </w:p>
  </w:endnote>
  <w:endnote w:type="continuationSeparator" w:id="0">
    <w:p w14:paraId="0519E4AF" w14:textId="77777777" w:rsidR="002531AD" w:rsidRDefault="002531AD" w:rsidP="00DF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C8736" w14:textId="77777777" w:rsidR="00DF24E4" w:rsidRDefault="00DF24E4" w:rsidP="00FA451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F23C35" w14:textId="77777777" w:rsidR="00DF24E4" w:rsidRDefault="00DF24E4" w:rsidP="00DF24E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C8415" w14:textId="77777777" w:rsidR="00DF24E4" w:rsidRDefault="00DF24E4" w:rsidP="00FA451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01B8">
      <w:rPr>
        <w:rStyle w:val="Nmerodepgina"/>
        <w:noProof/>
      </w:rPr>
      <w:t>1</w:t>
    </w:r>
    <w:r>
      <w:rPr>
        <w:rStyle w:val="Nmerodepgina"/>
      </w:rPr>
      <w:fldChar w:fldCharType="end"/>
    </w:r>
  </w:p>
  <w:p w14:paraId="174C35E6" w14:textId="77777777" w:rsidR="00DF24E4" w:rsidRDefault="00DF24E4" w:rsidP="00DF24E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92004" w14:textId="77777777" w:rsidR="002531AD" w:rsidRDefault="002531AD" w:rsidP="00DF24E4">
      <w:pPr>
        <w:spacing w:after="0" w:line="240" w:lineRule="auto"/>
      </w:pPr>
      <w:r>
        <w:separator/>
      </w:r>
    </w:p>
  </w:footnote>
  <w:footnote w:type="continuationSeparator" w:id="0">
    <w:p w14:paraId="0EF48C5A" w14:textId="77777777" w:rsidR="002531AD" w:rsidRDefault="002531AD" w:rsidP="00DF2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6310"/>
    <w:multiLevelType w:val="hybridMultilevel"/>
    <w:tmpl w:val="57E09E96"/>
    <w:lvl w:ilvl="0" w:tplc="F32A324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75"/>
    <w:rsid w:val="002531AD"/>
    <w:rsid w:val="00447D75"/>
    <w:rsid w:val="005B0B39"/>
    <w:rsid w:val="00857392"/>
    <w:rsid w:val="00942376"/>
    <w:rsid w:val="00984043"/>
    <w:rsid w:val="009D3315"/>
    <w:rsid w:val="00B36EE9"/>
    <w:rsid w:val="00C372EF"/>
    <w:rsid w:val="00D501B8"/>
    <w:rsid w:val="00DC7120"/>
    <w:rsid w:val="00DF24E4"/>
    <w:rsid w:val="00F1330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2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7392"/>
    <w:pPr>
      <w:ind w:left="720"/>
      <w:contextualSpacing/>
    </w:pPr>
  </w:style>
  <w:style w:type="paragraph" w:styleId="Textodeglobo">
    <w:name w:val="Balloon Text"/>
    <w:basedOn w:val="Normal"/>
    <w:link w:val="TextodegloboCar"/>
    <w:uiPriority w:val="99"/>
    <w:semiHidden/>
    <w:unhideWhenUsed/>
    <w:rsid w:val="00DF24E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24E4"/>
    <w:rPr>
      <w:rFonts w:ascii="Lucida Grande" w:hAnsi="Lucida Grande" w:cs="Lucida Grande"/>
      <w:sz w:val="18"/>
      <w:szCs w:val="18"/>
    </w:rPr>
  </w:style>
  <w:style w:type="paragraph" w:styleId="Piedepgina">
    <w:name w:val="footer"/>
    <w:basedOn w:val="Normal"/>
    <w:link w:val="PiedepginaCar"/>
    <w:uiPriority w:val="99"/>
    <w:unhideWhenUsed/>
    <w:rsid w:val="00DF24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4E4"/>
  </w:style>
  <w:style w:type="character" w:styleId="Nmerodepgina">
    <w:name w:val="page number"/>
    <w:basedOn w:val="Fuentedeprrafopredeter"/>
    <w:uiPriority w:val="99"/>
    <w:semiHidden/>
    <w:unhideWhenUsed/>
    <w:rsid w:val="00DF24E4"/>
  </w:style>
  <w:style w:type="character" w:styleId="Hipervnculo">
    <w:name w:val="Hyperlink"/>
    <w:basedOn w:val="Fuentedeprrafopredeter"/>
    <w:uiPriority w:val="99"/>
    <w:unhideWhenUsed/>
    <w:rsid w:val="00DF24E4"/>
    <w:rPr>
      <w:color w:val="0563C1" w:themeColor="hyperlink"/>
      <w:u w:val="single"/>
    </w:rPr>
  </w:style>
  <w:style w:type="paragraph" w:styleId="Sinespaciado">
    <w:name w:val="No Spacing"/>
    <w:uiPriority w:val="1"/>
    <w:qFormat/>
    <w:rsid w:val="009423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7392"/>
    <w:pPr>
      <w:ind w:left="720"/>
      <w:contextualSpacing/>
    </w:pPr>
  </w:style>
  <w:style w:type="paragraph" w:styleId="Textodeglobo">
    <w:name w:val="Balloon Text"/>
    <w:basedOn w:val="Normal"/>
    <w:link w:val="TextodegloboCar"/>
    <w:uiPriority w:val="99"/>
    <w:semiHidden/>
    <w:unhideWhenUsed/>
    <w:rsid w:val="00DF24E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24E4"/>
    <w:rPr>
      <w:rFonts w:ascii="Lucida Grande" w:hAnsi="Lucida Grande" w:cs="Lucida Grande"/>
      <w:sz w:val="18"/>
      <w:szCs w:val="18"/>
    </w:rPr>
  </w:style>
  <w:style w:type="paragraph" w:styleId="Piedepgina">
    <w:name w:val="footer"/>
    <w:basedOn w:val="Normal"/>
    <w:link w:val="PiedepginaCar"/>
    <w:uiPriority w:val="99"/>
    <w:unhideWhenUsed/>
    <w:rsid w:val="00DF24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4E4"/>
  </w:style>
  <w:style w:type="character" w:styleId="Nmerodepgina">
    <w:name w:val="page number"/>
    <w:basedOn w:val="Fuentedeprrafopredeter"/>
    <w:uiPriority w:val="99"/>
    <w:semiHidden/>
    <w:unhideWhenUsed/>
    <w:rsid w:val="00DF24E4"/>
  </w:style>
  <w:style w:type="character" w:styleId="Hipervnculo">
    <w:name w:val="Hyperlink"/>
    <w:basedOn w:val="Fuentedeprrafopredeter"/>
    <w:uiPriority w:val="99"/>
    <w:unhideWhenUsed/>
    <w:rsid w:val="00DF24E4"/>
    <w:rPr>
      <w:color w:val="0563C1" w:themeColor="hyperlink"/>
      <w:u w:val="single"/>
    </w:rPr>
  </w:style>
  <w:style w:type="paragraph" w:styleId="Sinespaciado">
    <w:name w:val="No Spacing"/>
    <w:uiPriority w:val="1"/>
    <w:qFormat/>
    <w:rsid w:val="00942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rm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5994</Characters>
  <Application>Microsoft Office Word</Application>
  <DocSecurity>0</DocSecurity>
  <Lines>285</Lines>
  <Paragraphs>157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dc:creator>
  <cp:lastModifiedBy>HP</cp:lastModifiedBy>
  <cp:revision>2</cp:revision>
  <dcterms:created xsi:type="dcterms:W3CDTF">2020-04-01T14:25:00Z</dcterms:created>
  <dcterms:modified xsi:type="dcterms:W3CDTF">2020-04-01T14:25:00Z</dcterms:modified>
</cp:coreProperties>
</file>