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D4A1B" w14:textId="77777777" w:rsidR="00660361" w:rsidRPr="00DD578A" w:rsidRDefault="00660361" w:rsidP="0066036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DD578A">
        <w:rPr>
          <w:rFonts w:ascii="Arial" w:hAnsi="Arial" w:cs="Arial"/>
          <w:noProof/>
          <w:sz w:val="28"/>
          <w:szCs w:val="28"/>
          <w:lang w:eastAsia="es-ES"/>
        </w:rPr>
        <w:drawing>
          <wp:inline distT="0" distB="0" distL="0" distR="0" wp14:anchorId="58B299C7" wp14:editId="56C246E7">
            <wp:extent cx="1715135" cy="1379340"/>
            <wp:effectExtent l="0" t="0" r="1206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49" cy="1379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B0DCEE" w14:textId="77777777" w:rsidR="009A6665" w:rsidRPr="00DD578A" w:rsidRDefault="00660361" w:rsidP="00660361">
      <w:pPr>
        <w:pBdr>
          <w:bottom w:val="single" w:sz="12" w:space="1" w:color="auto"/>
        </w:pBdr>
        <w:jc w:val="both"/>
        <w:rPr>
          <w:rFonts w:ascii="Arial" w:hAnsi="Arial" w:cs="Arial"/>
          <w:b/>
          <w:sz w:val="28"/>
          <w:szCs w:val="28"/>
        </w:rPr>
      </w:pPr>
      <w:r w:rsidRPr="00DD578A">
        <w:rPr>
          <w:rFonts w:ascii="Arial" w:hAnsi="Arial" w:cs="Arial"/>
          <w:b/>
          <w:sz w:val="28"/>
          <w:szCs w:val="28"/>
        </w:rPr>
        <w:t xml:space="preserve">Informe del CERMI Estatal sobre contenidos de discapacidad/tercer sector del Real Decreto-ley 15/2020, de 21 de abril, de medidas urgentes complementarias para apoyar la economía y el empleo </w:t>
      </w:r>
      <w:bookmarkStart w:id="0" w:name="_GoBack"/>
      <w:bookmarkEnd w:id="0"/>
    </w:p>
    <w:p w14:paraId="5418583F" w14:textId="77777777" w:rsidR="000A6CF6" w:rsidRPr="00DD578A" w:rsidRDefault="002C4B00" w:rsidP="00D604E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8"/>
          <w:szCs w:val="28"/>
        </w:rPr>
      </w:pPr>
      <w:r w:rsidRPr="00DD578A">
        <w:rPr>
          <w:rFonts w:ascii="Arial" w:hAnsi="Arial" w:cs="Arial"/>
          <w:b/>
          <w:sz w:val="28"/>
          <w:szCs w:val="28"/>
        </w:rPr>
        <w:t>ARTÍCULO 8. TIPO IMPOSITIVO APLICABLE DEL IMPUESTO SOBRE EL VALOR AÑADIDO A LAS ENTREGAS, IMPORTACIONES Y ADQUISICIONES INTRACOMUNITARIAS DE BIENES NECESARIOS PARA COMBATIR LOS EFECTOS DEL COVID-19.</w:t>
      </w:r>
      <w:r w:rsidR="00660361" w:rsidRPr="00DD578A">
        <w:rPr>
          <w:rFonts w:ascii="Arial" w:hAnsi="Arial" w:cs="Arial"/>
          <w:b/>
          <w:sz w:val="28"/>
          <w:szCs w:val="28"/>
        </w:rPr>
        <w:t xml:space="preserve"> </w:t>
      </w:r>
      <w:r w:rsidR="00660361" w:rsidRPr="00DD578A">
        <w:rPr>
          <w:rFonts w:ascii="Arial" w:hAnsi="Arial" w:cs="Arial"/>
          <w:sz w:val="28"/>
          <w:szCs w:val="28"/>
        </w:rPr>
        <w:t>Se trata de una demanda social surgida y planteada por el movimiento CERMI, que por vez primera la expresó públicamente, que el Gobierno a propuesta del Ministerio de Hacienda ha hecho suya.</w:t>
      </w:r>
      <w:r w:rsidR="00660361" w:rsidRPr="00DD578A">
        <w:rPr>
          <w:rFonts w:ascii="Arial" w:hAnsi="Arial" w:cs="Arial"/>
          <w:b/>
          <w:sz w:val="28"/>
          <w:szCs w:val="28"/>
        </w:rPr>
        <w:t xml:space="preserve"> </w:t>
      </w:r>
      <w:r w:rsidRPr="00DD578A">
        <w:rPr>
          <w:rFonts w:ascii="Arial" w:hAnsi="Arial" w:cs="Arial"/>
          <w:b/>
          <w:sz w:val="28"/>
          <w:szCs w:val="28"/>
        </w:rPr>
        <w:t xml:space="preserve">  </w:t>
      </w:r>
    </w:p>
    <w:p w14:paraId="44FE5528" w14:textId="77777777" w:rsidR="00D604E1" w:rsidRPr="00DD578A" w:rsidRDefault="00D604E1" w:rsidP="00D604E1">
      <w:pPr>
        <w:pStyle w:val="Prrafodelista"/>
        <w:ind w:left="360"/>
        <w:jc w:val="both"/>
        <w:rPr>
          <w:rFonts w:ascii="Arial" w:hAnsi="Arial" w:cs="Arial"/>
          <w:b/>
          <w:sz w:val="28"/>
          <w:szCs w:val="28"/>
        </w:rPr>
      </w:pPr>
    </w:p>
    <w:p w14:paraId="6C15CB6D" w14:textId="77777777" w:rsidR="0022614B" w:rsidRPr="00DD578A" w:rsidRDefault="008E5100" w:rsidP="00D604E1">
      <w:pPr>
        <w:pStyle w:val="Prrafodelista"/>
        <w:ind w:left="360"/>
        <w:jc w:val="both"/>
        <w:rPr>
          <w:rFonts w:ascii="Arial" w:hAnsi="Arial" w:cs="Arial"/>
          <w:b/>
          <w:sz w:val="28"/>
          <w:szCs w:val="28"/>
        </w:rPr>
      </w:pPr>
      <w:r w:rsidRPr="00DD578A">
        <w:rPr>
          <w:rFonts w:ascii="Arial" w:hAnsi="Arial" w:cs="Arial"/>
          <w:sz w:val="28"/>
          <w:szCs w:val="28"/>
        </w:rPr>
        <w:t>“</w:t>
      </w:r>
      <w:r w:rsidR="003A367A" w:rsidRPr="00DD578A">
        <w:rPr>
          <w:rFonts w:ascii="Arial" w:hAnsi="Arial" w:cs="Arial"/>
          <w:sz w:val="28"/>
          <w:szCs w:val="28"/>
        </w:rPr>
        <w:t xml:space="preserve"> </w:t>
      </w:r>
      <w:r w:rsidR="003A367A" w:rsidRPr="00DD578A">
        <w:rPr>
          <w:rFonts w:ascii="Arial" w:hAnsi="Arial" w:cs="Arial"/>
          <w:i/>
          <w:sz w:val="28"/>
          <w:szCs w:val="28"/>
        </w:rPr>
        <w:t xml:space="preserve">Con efectos desde la entrada en vigor de este real decreto-ley y vigencia hasta el 31 de julio de 2020, se aplicará el tipo del 0 por </w:t>
      </w:r>
      <w:proofErr w:type="gramStart"/>
      <w:r w:rsidR="003A367A" w:rsidRPr="00DD578A">
        <w:rPr>
          <w:rFonts w:ascii="Arial" w:hAnsi="Arial" w:cs="Arial"/>
          <w:i/>
          <w:sz w:val="28"/>
          <w:szCs w:val="28"/>
        </w:rPr>
        <w:t>ciento</w:t>
      </w:r>
      <w:proofErr w:type="gramEnd"/>
      <w:r w:rsidR="003A367A" w:rsidRPr="00DD578A">
        <w:rPr>
          <w:rFonts w:ascii="Arial" w:hAnsi="Arial" w:cs="Arial"/>
          <w:i/>
          <w:sz w:val="28"/>
          <w:szCs w:val="28"/>
        </w:rPr>
        <w:t xml:space="preserve"> del Impuesto sobre el Valor Añadido a las entregas de bienes, importaciones y adquisiciones intracomunitarias de bienes  referidos en el Anexo de este real decreto-ley cuyos destinatarios sean entidades de Derecho Público, clínicas o centros hospitalarios, o entidades privadas de carácter social a que se refiere el apartado tres del artículo 20 de la Ley 37/1992, de 28 de diciembre, del Impuesto sobre el Valor Añadido. Estas operaciones se documentarán en factura como operaciones exentas</w:t>
      </w:r>
      <w:r w:rsidRPr="00DD578A">
        <w:rPr>
          <w:rFonts w:ascii="Arial" w:hAnsi="Arial" w:cs="Arial"/>
          <w:i/>
          <w:sz w:val="28"/>
          <w:szCs w:val="28"/>
        </w:rPr>
        <w:t>”.</w:t>
      </w:r>
    </w:p>
    <w:p w14:paraId="1B2A0405" w14:textId="77777777" w:rsidR="000A6CF6" w:rsidRPr="00DD578A" w:rsidRDefault="000A6CF6" w:rsidP="000A6CF6">
      <w:pPr>
        <w:pStyle w:val="Prrafodelista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35E8EB30" w14:textId="77777777" w:rsidR="0022614B" w:rsidRPr="00DD578A" w:rsidRDefault="0022614B" w:rsidP="001C509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D578A">
        <w:rPr>
          <w:rFonts w:ascii="Arial" w:hAnsi="Arial" w:cs="Arial"/>
          <w:sz w:val="28"/>
          <w:szCs w:val="28"/>
        </w:rPr>
        <w:t>De conformidad con el</w:t>
      </w:r>
      <w:r w:rsidR="00440BCF" w:rsidRPr="00DD578A">
        <w:rPr>
          <w:rFonts w:ascii="Arial" w:hAnsi="Arial" w:cs="Arial"/>
          <w:sz w:val="28"/>
          <w:szCs w:val="28"/>
        </w:rPr>
        <w:t xml:space="preserve"> apartado 27 “</w:t>
      </w:r>
      <w:r w:rsidR="00D604E1" w:rsidRPr="00DD578A">
        <w:rPr>
          <w:rFonts w:ascii="Arial" w:hAnsi="Arial" w:cs="Arial"/>
          <w:sz w:val="28"/>
          <w:szCs w:val="28"/>
        </w:rPr>
        <w:t>Trasportines</w:t>
      </w:r>
      <w:r w:rsidR="00440BCF" w:rsidRPr="00DD578A">
        <w:rPr>
          <w:rFonts w:ascii="Arial" w:hAnsi="Arial" w:cs="Arial"/>
          <w:sz w:val="28"/>
          <w:szCs w:val="28"/>
        </w:rPr>
        <w:t xml:space="preserve"> de emergencia” del</w:t>
      </w:r>
      <w:r w:rsidRPr="00DD578A">
        <w:rPr>
          <w:rFonts w:ascii="Arial" w:hAnsi="Arial" w:cs="Arial"/>
          <w:sz w:val="28"/>
          <w:szCs w:val="28"/>
        </w:rPr>
        <w:t xml:space="preserve"> Anexo </w:t>
      </w:r>
      <w:r w:rsidR="001C5096" w:rsidRPr="00DD578A">
        <w:rPr>
          <w:rFonts w:ascii="Arial" w:hAnsi="Arial" w:cs="Arial"/>
          <w:sz w:val="28"/>
          <w:szCs w:val="28"/>
        </w:rPr>
        <w:t>“Relación de bienes a los que se refiere el artículo 8”</w:t>
      </w:r>
      <w:r w:rsidR="000A6CF6" w:rsidRPr="00DD578A">
        <w:rPr>
          <w:rFonts w:ascii="Arial" w:hAnsi="Arial" w:cs="Arial"/>
          <w:sz w:val="28"/>
          <w:szCs w:val="28"/>
        </w:rPr>
        <w:t>, entre otros productos, está</w:t>
      </w:r>
      <w:r w:rsidRPr="00DD578A">
        <w:rPr>
          <w:rFonts w:ascii="Arial" w:hAnsi="Arial" w:cs="Arial"/>
          <w:sz w:val="28"/>
          <w:szCs w:val="28"/>
        </w:rPr>
        <w:t xml:space="preserve"> </w:t>
      </w:r>
      <w:r w:rsidRPr="00DD578A">
        <w:rPr>
          <w:rFonts w:ascii="Arial" w:hAnsi="Arial" w:cs="Arial"/>
          <w:sz w:val="28"/>
          <w:szCs w:val="28"/>
          <w:u w:val="single"/>
        </w:rPr>
        <w:t>específicamente contemplado el “transporte para personas con discapacidad (sillas de ruedas)”</w:t>
      </w:r>
    </w:p>
    <w:p w14:paraId="43937331" w14:textId="77777777" w:rsidR="0022614B" w:rsidRPr="00DD578A" w:rsidRDefault="0022614B" w:rsidP="0022614B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0AB70814" w14:textId="77777777" w:rsidR="0022614B" w:rsidRPr="00DD578A" w:rsidRDefault="008E5100" w:rsidP="0022614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D578A">
        <w:rPr>
          <w:rFonts w:ascii="Arial" w:hAnsi="Arial" w:cs="Arial"/>
          <w:sz w:val="28"/>
          <w:szCs w:val="28"/>
        </w:rPr>
        <w:lastRenderedPageBreak/>
        <w:t xml:space="preserve">Según el </w:t>
      </w:r>
      <w:r w:rsidR="000A6CF6" w:rsidRPr="00DD578A">
        <w:rPr>
          <w:rFonts w:ascii="Arial" w:hAnsi="Arial" w:cs="Arial"/>
          <w:sz w:val="28"/>
          <w:szCs w:val="28"/>
        </w:rPr>
        <w:t>apartado tres del art.</w:t>
      </w:r>
      <w:r w:rsidR="002C4B00" w:rsidRPr="00DD578A">
        <w:rPr>
          <w:rFonts w:ascii="Arial" w:hAnsi="Arial" w:cs="Arial"/>
          <w:sz w:val="28"/>
          <w:szCs w:val="28"/>
        </w:rPr>
        <w:t xml:space="preserve"> </w:t>
      </w:r>
      <w:r w:rsidR="000A6CF6" w:rsidRPr="00DD578A">
        <w:rPr>
          <w:rFonts w:ascii="Arial" w:hAnsi="Arial" w:cs="Arial"/>
          <w:sz w:val="28"/>
          <w:szCs w:val="28"/>
        </w:rPr>
        <w:t xml:space="preserve">20 </w:t>
      </w:r>
      <w:r w:rsidRPr="00DD578A">
        <w:rPr>
          <w:rFonts w:ascii="Arial" w:hAnsi="Arial" w:cs="Arial"/>
          <w:sz w:val="28"/>
          <w:szCs w:val="28"/>
        </w:rPr>
        <w:t xml:space="preserve"> de la Ley 37/1992, de 28 de diciembre, del Impuesto sobre el Valor Añadido, </w:t>
      </w:r>
      <w:r w:rsidR="0022614B" w:rsidRPr="00DD578A">
        <w:rPr>
          <w:rFonts w:ascii="Arial" w:hAnsi="Arial" w:cs="Arial"/>
          <w:sz w:val="28"/>
          <w:szCs w:val="28"/>
        </w:rPr>
        <w:t>“se considerarán entidades o establecimientos de carácter social aquéllos en los que concurran los siguientes requisitos:</w:t>
      </w:r>
    </w:p>
    <w:p w14:paraId="2ABDA29C" w14:textId="77777777" w:rsidR="0022614B" w:rsidRPr="00DD578A" w:rsidRDefault="0022614B" w:rsidP="0022614B">
      <w:pPr>
        <w:ind w:left="1416"/>
        <w:jc w:val="both"/>
        <w:rPr>
          <w:rFonts w:ascii="Arial" w:hAnsi="Arial" w:cs="Arial"/>
          <w:sz w:val="28"/>
          <w:szCs w:val="28"/>
        </w:rPr>
      </w:pPr>
      <w:proofErr w:type="gramStart"/>
      <w:r w:rsidRPr="00DD578A">
        <w:rPr>
          <w:rFonts w:ascii="Arial" w:hAnsi="Arial" w:cs="Arial"/>
          <w:sz w:val="28"/>
          <w:szCs w:val="28"/>
        </w:rPr>
        <w:t>1.º</w:t>
      </w:r>
      <w:proofErr w:type="gramEnd"/>
      <w:r w:rsidRPr="00DD578A">
        <w:rPr>
          <w:rFonts w:ascii="Arial" w:hAnsi="Arial" w:cs="Arial"/>
          <w:sz w:val="28"/>
          <w:szCs w:val="28"/>
        </w:rPr>
        <w:t xml:space="preserve"> Carecer de finalidad lucrativa y dedicar, en su caso, los beneficios eventualmente obtenidos al desarrollo de actividades exentas de idéntica naturaleza.</w:t>
      </w:r>
    </w:p>
    <w:p w14:paraId="48140F1E" w14:textId="77777777" w:rsidR="0022614B" w:rsidRPr="00DD578A" w:rsidRDefault="0022614B" w:rsidP="0022614B">
      <w:pPr>
        <w:ind w:left="1416"/>
        <w:jc w:val="both"/>
        <w:rPr>
          <w:rFonts w:ascii="Arial" w:hAnsi="Arial" w:cs="Arial"/>
          <w:sz w:val="28"/>
          <w:szCs w:val="28"/>
        </w:rPr>
      </w:pPr>
      <w:proofErr w:type="gramStart"/>
      <w:r w:rsidRPr="00DD578A">
        <w:rPr>
          <w:rFonts w:ascii="Arial" w:hAnsi="Arial" w:cs="Arial"/>
          <w:sz w:val="28"/>
          <w:szCs w:val="28"/>
        </w:rPr>
        <w:t>2.º</w:t>
      </w:r>
      <w:proofErr w:type="gramEnd"/>
      <w:r w:rsidRPr="00DD578A">
        <w:rPr>
          <w:rFonts w:ascii="Arial" w:hAnsi="Arial" w:cs="Arial"/>
          <w:sz w:val="28"/>
          <w:szCs w:val="28"/>
        </w:rPr>
        <w:t xml:space="preserve"> Los cargos de presidente, patrono o representante legal deberán ser gratuitos y carecer de interés en los resultados económicos de la explotación por sí mismos o a través de persona interpuesta.</w:t>
      </w:r>
    </w:p>
    <w:p w14:paraId="4494C093" w14:textId="77777777" w:rsidR="002C4B00" w:rsidRPr="00DD578A" w:rsidRDefault="0022614B" w:rsidP="00F3574E">
      <w:pPr>
        <w:ind w:left="1416"/>
        <w:jc w:val="both"/>
        <w:rPr>
          <w:rFonts w:ascii="Arial" w:hAnsi="Arial" w:cs="Arial"/>
          <w:sz w:val="28"/>
          <w:szCs w:val="28"/>
        </w:rPr>
      </w:pPr>
      <w:r w:rsidRPr="00DD578A">
        <w:rPr>
          <w:rFonts w:ascii="Arial" w:hAnsi="Arial" w:cs="Arial"/>
          <w:sz w:val="28"/>
          <w:szCs w:val="28"/>
        </w:rPr>
        <w:t>3.º Los socios, comuneros o partícipes de las entidades o establecimientos y sus cónyuges o parientes consanguíneos, hasta el segundo grado inclusive, no podrán ser destinatarios principales de las operaciones exentas ni gozar de condiciones especiales en la prestación de los servicios.”</w:t>
      </w:r>
    </w:p>
    <w:p w14:paraId="19AC969B" w14:textId="77777777" w:rsidR="0004661F" w:rsidRPr="00DD578A" w:rsidRDefault="0004661F" w:rsidP="0004661F">
      <w:pPr>
        <w:ind w:left="360"/>
        <w:jc w:val="both"/>
        <w:rPr>
          <w:rFonts w:ascii="Arial" w:hAnsi="Arial" w:cs="Arial"/>
          <w:sz w:val="28"/>
          <w:szCs w:val="28"/>
        </w:rPr>
      </w:pPr>
      <w:r w:rsidRPr="00DD578A">
        <w:rPr>
          <w:rFonts w:ascii="Arial" w:hAnsi="Arial" w:cs="Arial"/>
          <w:sz w:val="28"/>
          <w:szCs w:val="28"/>
        </w:rPr>
        <w:t>Por tanto, este art. 8 no tiene efectos retroactivos y solo afecta a entidades de Derecho Público (ONCE</w:t>
      </w:r>
      <w:r w:rsidR="00660361" w:rsidRPr="00DD578A">
        <w:rPr>
          <w:rFonts w:ascii="Arial" w:hAnsi="Arial" w:cs="Arial"/>
          <w:sz w:val="28"/>
          <w:szCs w:val="28"/>
        </w:rPr>
        <w:t>, Cruz Roja Española</w:t>
      </w:r>
      <w:r w:rsidRPr="00DD578A">
        <w:rPr>
          <w:rFonts w:ascii="Arial" w:hAnsi="Arial" w:cs="Arial"/>
          <w:sz w:val="28"/>
          <w:szCs w:val="28"/>
        </w:rPr>
        <w:t xml:space="preserve">), sanitarias (públicas y privadas) y las entidades sin fin de lucro </w:t>
      </w:r>
      <w:proofErr w:type="spellStart"/>
      <w:r w:rsidRPr="00DD578A">
        <w:rPr>
          <w:rFonts w:ascii="Arial" w:hAnsi="Arial" w:cs="Arial"/>
          <w:sz w:val="28"/>
          <w:szCs w:val="28"/>
        </w:rPr>
        <w:t>encajables</w:t>
      </w:r>
      <w:proofErr w:type="spellEnd"/>
      <w:r w:rsidRPr="00DD578A">
        <w:rPr>
          <w:rFonts w:ascii="Arial" w:hAnsi="Arial" w:cs="Arial"/>
          <w:sz w:val="28"/>
          <w:szCs w:val="28"/>
        </w:rPr>
        <w:t xml:space="preserve"> en el art 20 de la </w:t>
      </w:r>
      <w:proofErr w:type="spellStart"/>
      <w:r w:rsidRPr="00DD578A">
        <w:rPr>
          <w:rFonts w:ascii="Arial" w:hAnsi="Arial" w:cs="Arial"/>
          <w:sz w:val="28"/>
          <w:szCs w:val="28"/>
        </w:rPr>
        <w:t>LiVA</w:t>
      </w:r>
      <w:proofErr w:type="spellEnd"/>
      <w:r w:rsidRPr="00DD578A">
        <w:rPr>
          <w:rFonts w:ascii="Arial" w:hAnsi="Arial" w:cs="Arial"/>
          <w:sz w:val="28"/>
          <w:szCs w:val="28"/>
        </w:rPr>
        <w:t>. Los canales empresariales normales siguen gravados plenamente (10 o 21 normalmente).</w:t>
      </w:r>
    </w:p>
    <w:p w14:paraId="0D1A6B90" w14:textId="77777777" w:rsidR="0004661F" w:rsidRPr="00DD578A" w:rsidRDefault="0004661F" w:rsidP="0004661F">
      <w:pPr>
        <w:ind w:left="360"/>
        <w:jc w:val="both"/>
        <w:rPr>
          <w:rFonts w:ascii="Arial" w:hAnsi="Arial" w:cs="Arial"/>
          <w:sz w:val="28"/>
          <w:szCs w:val="28"/>
        </w:rPr>
      </w:pPr>
    </w:p>
    <w:p w14:paraId="499D3014" w14:textId="77777777" w:rsidR="00D604E1" w:rsidRPr="00DD578A" w:rsidRDefault="002C4B00" w:rsidP="009D66B6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DD578A">
        <w:rPr>
          <w:rFonts w:ascii="Arial" w:hAnsi="Arial" w:cs="Arial"/>
          <w:b/>
          <w:sz w:val="28"/>
          <w:szCs w:val="28"/>
        </w:rPr>
        <w:t xml:space="preserve">DISPOSICIÓN FINAL DÉCIMA. MODIFICACIÓN DEL REAL DECRETO-LEY 11/2020, DE 31 DE MARZO, POR EL QUE SE ADOPTAN MEDIDAS URGENTES COMPLEMENTARIAS EN EL ÁMBITO SOCIAL Y ECONÓMICO PARA HACER FRENTE AL COVID-19 </w:t>
      </w:r>
      <w:r w:rsidRPr="00DD578A">
        <w:rPr>
          <w:rFonts w:ascii="Arial" w:hAnsi="Arial" w:cs="Arial"/>
          <w:sz w:val="28"/>
          <w:szCs w:val="28"/>
        </w:rPr>
        <w:t>(en relación con la definición de la situación de vulnerabilidad económica a efectos de obtener moratorias/ ayudas en relación con la renta arren</w:t>
      </w:r>
      <w:r w:rsidR="009D66B6" w:rsidRPr="00DD578A">
        <w:rPr>
          <w:rFonts w:ascii="Arial" w:hAnsi="Arial" w:cs="Arial"/>
          <w:sz w:val="28"/>
          <w:szCs w:val="28"/>
        </w:rPr>
        <w:t xml:space="preserve">daticia de la vivienda habitual y a los </w:t>
      </w:r>
      <w:proofErr w:type="spellStart"/>
      <w:r w:rsidR="009D66B6" w:rsidRPr="00DD578A">
        <w:rPr>
          <w:rFonts w:ascii="Arial" w:hAnsi="Arial" w:cs="Arial"/>
          <w:sz w:val="28"/>
          <w:szCs w:val="28"/>
        </w:rPr>
        <w:t>los</w:t>
      </w:r>
      <w:proofErr w:type="spellEnd"/>
      <w:r w:rsidR="009D66B6" w:rsidRPr="00DD578A">
        <w:rPr>
          <w:rFonts w:ascii="Arial" w:hAnsi="Arial" w:cs="Arial"/>
          <w:sz w:val="28"/>
          <w:szCs w:val="28"/>
        </w:rPr>
        <w:t xml:space="preserve"> efectos de la moratoria hipotecaria y del crédito de financiación no hipotecaria</w:t>
      </w:r>
      <w:r w:rsidR="00660361" w:rsidRPr="00DD578A">
        <w:rPr>
          <w:rFonts w:ascii="Arial" w:hAnsi="Arial" w:cs="Arial"/>
          <w:sz w:val="28"/>
          <w:szCs w:val="28"/>
        </w:rPr>
        <w:t>. Se han corregido, a petición del CERMI, errores de texto que impedían una correcta aplicación de la norma a todas las personas con discapacidad, desde el 33 por 100 de grado</w:t>
      </w:r>
      <w:r w:rsidR="009D66B6" w:rsidRPr="00DD578A">
        <w:rPr>
          <w:rFonts w:ascii="Arial" w:hAnsi="Arial" w:cs="Arial"/>
          <w:sz w:val="28"/>
          <w:szCs w:val="28"/>
        </w:rPr>
        <w:t>).</w:t>
      </w:r>
    </w:p>
    <w:p w14:paraId="2E4A5505" w14:textId="77777777" w:rsidR="000A6CF6" w:rsidRPr="00DD578A" w:rsidRDefault="000A6CF6" w:rsidP="00D604E1">
      <w:pPr>
        <w:ind w:left="360"/>
        <w:jc w:val="both"/>
        <w:rPr>
          <w:rFonts w:ascii="Arial" w:hAnsi="Arial" w:cs="Arial"/>
          <w:i/>
          <w:sz w:val="28"/>
          <w:szCs w:val="28"/>
        </w:rPr>
      </w:pPr>
      <w:r w:rsidRPr="00DD578A">
        <w:rPr>
          <w:rFonts w:ascii="Arial" w:hAnsi="Arial" w:cs="Arial"/>
          <w:i/>
          <w:sz w:val="28"/>
          <w:szCs w:val="28"/>
        </w:rPr>
        <w:t xml:space="preserve">“El Real Decreto-ley 11/2020, de 31 de marzo, por el que se adoptan medidas urgentes complementarias en el ámbito social y </w:t>
      </w:r>
      <w:r w:rsidRPr="00DD578A">
        <w:rPr>
          <w:rFonts w:ascii="Arial" w:hAnsi="Arial" w:cs="Arial"/>
          <w:i/>
          <w:sz w:val="28"/>
          <w:szCs w:val="28"/>
        </w:rPr>
        <w:lastRenderedPageBreak/>
        <w:t xml:space="preserve">económico para hacer frente al COVID-19, queda modificado como sigue: </w:t>
      </w:r>
    </w:p>
    <w:p w14:paraId="74AC6DEA" w14:textId="77777777" w:rsidR="000A6CF6" w:rsidRPr="00DD578A" w:rsidRDefault="000A6CF6" w:rsidP="00D604E1">
      <w:pPr>
        <w:ind w:left="360"/>
        <w:jc w:val="both"/>
        <w:rPr>
          <w:rFonts w:ascii="Arial" w:hAnsi="Arial" w:cs="Arial"/>
          <w:i/>
          <w:sz w:val="28"/>
          <w:szCs w:val="28"/>
        </w:rPr>
      </w:pPr>
      <w:r w:rsidRPr="00DD578A">
        <w:rPr>
          <w:rFonts w:ascii="Arial" w:hAnsi="Arial" w:cs="Arial"/>
          <w:b/>
          <w:i/>
          <w:sz w:val="28"/>
          <w:szCs w:val="28"/>
        </w:rPr>
        <w:t>Uno.</w:t>
      </w:r>
      <w:r w:rsidRPr="00DD578A">
        <w:rPr>
          <w:rFonts w:ascii="Arial" w:hAnsi="Arial" w:cs="Arial"/>
          <w:i/>
          <w:sz w:val="28"/>
          <w:szCs w:val="28"/>
        </w:rPr>
        <w:t xml:space="preserve"> El </w:t>
      </w:r>
      <w:proofErr w:type="spellStart"/>
      <w:r w:rsidRPr="00DD578A">
        <w:rPr>
          <w:rFonts w:ascii="Arial" w:hAnsi="Arial" w:cs="Arial"/>
          <w:i/>
          <w:sz w:val="28"/>
          <w:szCs w:val="28"/>
        </w:rPr>
        <w:t>subapartado</w:t>
      </w:r>
      <w:proofErr w:type="spellEnd"/>
      <w:r w:rsidRPr="00DD578A">
        <w:rPr>
          <w:rFonts w:ascii="Arial" w:hAnsi="Arial" w:cs="Arial"/>
          <w:i/>
          <w:sz w:val="28"/>
          <w:szCs w:val="28"/>
        </w:rPr>
        <w:t xml:space="preserve"> iv, de la letra a), del apartado 1 del artículo 5 del Real Decreto-ley 11/2020, de 31 de marzo, por el que se adoptan medidas urgentes complementarias en el ámbito social y económico para hacer frente al COVID-19, queda con la siguiente redacción: «iv. En caso de que alguno de los miembros de la unidad familiar tenga declarada discapacidad </w:t>
      </w:r>
      <w:r w:rsidRPr="00DD578A">
        <w:rPr>
          <w:rFonts w:ascii="Arial" w:hAnsi="Arial" w:cs="Arial"/>
          <w:i/>
          <w:sz w:val="28"/>
          <w:szCs w:val="28"/>
          <w:u w:val="single"/>
        </w:rPr>
        <w:t>igual o superior</w:t>
      </w:r>
      <w:r w:rsidRPr="00DD578A">
        <w:rPr>
          <w:rFonts w:ascii="Arial" w:hAnsi="Arial" w:cs="Arial"/>
          <w:i/>
          <w:sz w:val="28"/>
          <w:szCs w:val="28"/>
        </w:rPr>
        <w:t xml:space="preserve"> al 33 por ciento, situación de dependencia o enfermedad que le incapacite acreditadamente de forma permanente para realizar una actividad laboral, el límite previsto en el </w:t>
      </w:r>
      <w:proofErr w:type="spellStart"/>
      <w:r w:rsidRPr="00DD578A">
        <w:rPr>
          <w:rFonts w:ascii="Arial" w:hAnsi="Arial" w:cs="Arial"/>
          <w:i/>
          <w:sz w:val="28"/>
          <w:szCs w:val="28"/>
        </w:rPr>
        <w:t>subapartado</w:t>
      </w:r>
      <w:proofErr w:type="spellEnd"/>
      <w:r w:rsidRPr="00DD578A">
        <w:rPr>
          <w:rFonts w:ascii="Arial" w:hAnsi="Arial" w:cs="Arial"/>
          <w:i/>
          <w:sz w:val="28"/>
          <w:szCs w:val="28"/>
        </w:rPr>
        <w:t xml:space="preserve"> i) será de cuatro veces el IPREM, sin perjuicio de los incrementos acumulados por hijo a cargo.» </w:t>
      </w:r>
    </w:p>
    <w:p w14:paraId="1601A6B1" w14:textId="77777777" w:rsidR="00816ED2" w:rsidRPr="00DD578A" w:rsidRDefault="000A6CF6" w:rsidP="009D66B6">
      <w:pPr>
        <w:ind w:left="360"/>
        <w:jc w:val="both"/>
        <w:rPr>
          <w:rFonts w:ascii="Arial" w:hAnsi="Arial" w:cs="Arial"/>
          <w:i/>
          <w:sz w:val="28"/>
          <w:szCs w:val="28"/>
        </w:rPr>
      </w:pPr>
      <w:r w:rsidRPr="00DD578A">
        <w:rPr>
          <w:rFonts w:ascii="Arial" w:hAnsi="Arial" w:cs="Arial"/>
          <w:b/>
          <w:i/>
          <w:sz w:val="28"/>
          <w:szCs w:val="28"/>
        </w:rPr>
        <w:t>Dos.</w:t>
      </w:r>
      <w:r w:rsidRPr="00DD578A">
        <w:rPr>
          <w:rFonts w:ascii="Arial" w:hAnsi="Arial" w:cs="Arial"/>
          <w:i/>
          <w:sz w:val="28"/>
          <w:szCs w:val="28"/>
        </w:rPr>
        <w:t xml:space="preserve"> Se modifica el </w:t>
      </w:r>
      <w:proofErr w:type="spellStart"/>
      <w:r w:rsidRPr="00DD578A">
        <w:rPr>
          <w:rFonts w:ascii="Arial" w:hAnsi="Arial" w:cs="Arial"/>
          <w:i/>
          <w:sz w:val="28"/>
          <w:szCs w:val="28"/>
        </w:rPr>
        <w:t>subapartado</w:t>
      </w:r>
      <w:proofErr w:type="spellEnd"/>
      <w:r w:rsidRPr="00DD578A">
        <w:rPr>
          <w:rFonts w:ascii="Arial" w:hAnsi="Arial" w:cs="Arial"/>
          <w:i/>
          <w:sz w:val="28"/>
          <w:szCs w:val="28"/>
        </w:rPr>
        <w:t xml:space="preserve"> iv de la letra b) del apartado 1 del artículo 16 del Real Decreto-ley 11/2020, de 31 de marzo, por el que se adoptan medidas urgentes complementarias en el ámbito social y económico para hacer frente al COVID-19 que queda con la siguiente redacción: «iv. En caso de que alguno de los miembros de la unidad familiar tenga declarada discapacidad </w:t>
      </w:r>
      <w:r w:rsidRPr="00DD578A">
        <w:rPr>
          <w:rFonts w:ascii="Arial" w:hAnsi="Arial" w:cs="Arial"/>
          <w:i/>
          <w:sz w:val="28"/>
          <w:szCs w:val="28"/>
          <w:u w:val="single"/>
        </w:rPr>
        <w:t>igual o superior</w:t>
      </w:r>
      <w:r w:rsidRPr="00DD578A">
        <w:rPr>
          <w:rFonts w:ascii="Arial" w:hAnsi="Arial" w:cs="Arial"/>
          <w:i/>
          <w:sz w:val="28"/>
          <w:szCs w:val="28"/>
        </w:rPr>
        <w:t xml:space="preserve"> al 33 por ciento, situación de dependencia o enfermedad que le incapacite acreditadamente de forma permanente para realizar una actividad laboral, el límite previsto en el </w:t>
      </w:r>
      <w:proofErr w:type="spellStart"/>
      <w:r w:rsidRPr="00DD578A">
        <w:rPr>
          <w:rFonts w:ascii="Arial" w:hAnsi="Arial" w:cs="Arial"/>
          <w:i/>
          <w:sz w:val="28"/>
          <w:szCs w:val="28"/>
        </w:rPr>
        <w:t>subapartado</w:t>
      </w:r>
      <w:proofErr w:type="spellEnd"/>
      <w:r w:rsidRPr="00DD578A">
        <w:rPr>
          <w:rFonts w:ascii="Arial" w:hAnsi="Arial" w:cs="Arial"/>
          <w:i/>
          <w:sz w:val="28"/>
          <w:szCs w:val="28"/>
        </w:rPr>
        <w:t xml:space="preserve"> i) será de cuatro veces el IPREM, sin perjuicio de los incrementos acumulados por hijo a cargo».</w:t>
      </w:r>
    </w:p>
    <w:p w14:paraId="5864915E" w14:textId="77777777" w:rsidR="00816ED2" w:rsidRPr="00DD578A" w:rsidRDefault="00816ED2" w:rsidP="00816ED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D578A">
        <w:rPr>
          <w:rFonts w:ascii="Arial" w:hAnsi="Arial" w:cs="Arial"/>
          <w:sz w:val="28"/>
          <w:szCs w:val="28"/>
        </w:rPr>
        <w:t>El artículo 5 del Real Decreto-Ley 11/2020 se refiere a la definición de la situación de vulnerabilidad económica a efectos de obtener moratorias o ayudas en relación con la renta arrendaticia de la vivienda habitual.</w:t>
      </w:r>
    </w:p>
    <w:p w14:paraId="25299E6A" w14:textId="77777777" w:rsidR="00816ED2" w:rsidRPr="00DD578A" w:rsidRDefault="00816ED2" w:rsidP="00816ED2">
      <w:pPr>
        <w:pStyle w:val="Prrafodelista"/>
        <w:jc w:val="both"/>
        <w:rPr>
          <w:rFonts w:ascii="Arial" w:hAnsi="Arial" w:cs="Arial"/>
          <w:sz w:val="28"/>
          <w:szCs w:val="28"/>
        </w:rPr>
      </w:pPr>
    </w:p>
    <w:p w14:paraId="48AF0520" w14:textId="77777777" w:rsidR="00816ED2" w:rsidRPr="00DD578A" w:rsidRDefault="00816ED2" w:rsidP="00DD578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DD578A">
        <w:rPr>
          <w:rFonts w:ascii="Arial" w:hAnsi="Arial" w:cs="Arial"/>
          <w:sz w:val="28"/>
          <w:szCs w:val="28"/>
        </w:rPr>
        <w:t>El artículo 16 del Real Decreto-Ley 11/2020 se refiere a la definición de vulnerabilidad económica a los efectos de la moratoria hipotecaria y del crédito de financiación no hipotecaria.</w:t>
      </w:r>
    </w:p>
    <w:p w14:paraId="7D647470" w14:textId="77777777" w:rsidR="00C83BE8" w:rsidRPr="00DD578A" w:rsidRDefault="00C83BE8" w:rsidP="00C83BE8">
      <w:pPr>
        <w:jc w:val="right"/>
        <w:rPr>
          <w:rFonts w:ascii="Arial" w:hAnsi="Arial" w:cs="Arial"/>
          <w:sz w:val="28"/>
          <w:szCs w:val="28"/>
        </w:rPr>
      </w:pPr>
      <w:r w:rsidRPr="00DD578A">
        <w:rPr>
          <w:rFonts w:ascii="Arial" w:hAnsi="Arial" w:cs="Arial"/>
          <w:sz w:val="28"/>
          <w:szCs w:val="28"/>
        </w:rPr>
        <w:t>22 de abril de 2020.</w:t>
      </w:r>
    </w:p>
    <w:p w14:paraId="11D3E866" w14:textId="77777777" w:rsidR="00660361" w:rsidRPr="00DD578A" w:rsidRDefault="00660361" w:rsidP="00C83BE8">
      <w:pPr>
        <w:jc w:val="right"/>
        <w:rPr>
          <w:rFonts w:ascii="Arial" w:hAnsi="Arial" w:cs="Arial"/>
          <w:sz w:val="28"/>
          <w:szCs w:val="28"/>
        </w:rPr>
      </w:pPr>
    </w:p>
    <w:p w14:paraId="09874057" w14:textId="77777777" w:rsidR="00660361" w:rsidRPr="00DD578A" w:rsidRDefault="00660361" w:rsidP="00660361">
      <w:pPr>
        <w:jc w:val="center"/>
        <w:rPr>
          <w:rFonts w:ascii="Arial" w:hAnsi="Arial" w:cs="Arial"/>
          <w:b/>
          <w:sz w:val="28"/>
          <w:szCs w:val="28"/>
        </w:rPr>
      </w:pPr>
      <w:r w:rsidRPr="00DD578A">
        <w:rPr>
          <w:rFonts w:ascii="Arial" w:hAnsi="Arial" w:cs="Arial"/>
          <w:b/>
          <w:sz w:val="28"/>
          <w:szCs w:val="28"/>
        </w:rPr>
        <w:t>CERMI</w:t>
      </w:r>
    </w:p>
    <w:p w14:paraId="24BBEE53" w14:textId="77777777" w:rsidR="00660361" w:rsidRPr="00DD578A" w:rsidRDefault="006644D2" w:rsidP="00660361">
      <w:pPr>
        <w:jc w:val="center"/>
        <w:rPr>
          <w:rFonts w:ascii="Arial" w:hAnsi="Arial" w:cs="Arial"/>
          <w:b/>
          <w:sz w:val="28"/>
          <w:szCs w:val="28"/>
        </w:rPr>
      </w:pPr>
      <w:hyperlink r:id="rId10" w:history="1">
        <w:r w:rsidR="00660361" w:rsidRPr="00DD578A">
          <w:rPr>
            <w:rStyle w:val="Hipervnculo"/>
            <w:rFonts w:ascii="Arial" w:hAnsi="Arial" w:cs="Arial"/>
            <w:b/>
            <w:sz w:val="28"/>
            <w:szCs w:val="28"/>
          </w:rPr>
          <w:t>www.cermi.es</w:t>
        </w:r>
      </w:hyperlink>
    </w:p>
    <w:sectPr w:rsidR="00660361" w:rsidRPr="00DD578A"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B24BD" w14:textId="77777777" w:rsidR="006644D2" w:rsidRDefault="006644D2" w:rsidP="00660361">
      <w:pPr>
        <w:spacing w:after="0" w:line="240" w:lineRule="auto"/>
      </w:pPr>
      <w:r>
        <w:separator/>
      </w:r>
    </w:p>
  </w:endnote>
  <w:endnote w:type="continuationSeparator" w:id="0">
    <w:p w14:paraId="59175A18" w14:textId="77777777" w:rsidR="006644D2" w:rsidRDefault="006644D2" w:rsidP="0066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59C77" w14:textId="77777777" w:rsidR="00660361" w:rsidRDefault="00660361" w:rsidP="00FA45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9805620" w14:textId="77777777" w:rsidR="00660361" w:rsidRDefault="00660361" w:rsidP="0066036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F0B3A" w14:textId="77777777" w:rsidR="00660361" w:rsidRDefault="00660361" w:rsidP="00FA45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50EC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AFE6591" w14:textId="77777777" w:rsidR="00660361" w:rsidRDefault="00660361" w:rsidP="0066036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BA2B3" w14:textId="77777777" w:rsidR="006644D2" w:rsidRDefault="006644D2" w:rsidP="00660361">
      <w:pPr>
        <w:spacing w:after="0" w:line="240" w:lineRule="auto"/>
      </w:pPr>
      <w:r>
        <w:separator/>
      </w:r>
    </w:p>
  </w:footnote>
  <w:footnote w:type="continuationSeparator" w:id="0">
    <w:p w14:paraId="606D22C0" w14:textId="77777777" w:rsidR="006644D2" w:rsidRDefault="006644D2" w:rsidP="0066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65A"/>
    <w:multiLevelType w:val="hybridMultilevel"/>
    <w:tmpl w:val="C96474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C11C7"/>
    <w:multiLevelType w:val="hybridMultilevel"/>
    <w:tmpl w:val="0DF846EA"/>
    <w:lvl w:ilvl="0" w:tplc="E902AC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84C28"/>
    <w:multiLevelType w:val="hybridMultilevel"/>
    <w:tmpl w:val="72DE1728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4A7F87"/>
    <w:multiLevelType w:val="hybridMultilevel"/>
    <w:tmpl w:val="4552E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B30030"/>
    <w:multiLevelType w:val="hybridMultilevel"/>
    <w:tmpl w:val="E95CF72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35C27"/>
    <w:multiLevelType w:val="hybridMultilevel"/>
    <w:tmpl w:val="F992F94C"/>
    <w:lvl w:ilvl="0" w:tplc="838E6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7A"/>
    <w:rsid w:val="00013060"/>
    <w:rsid w:val="0004661F"/>
    <w:rsid w:val="000A6CF6"/>
    <w:rsid w:val="001C5096"/>
    <w:rsid w:val="0022614B"/>
    <w:rsid w:val="002C4B00"/>
    <w:rsid w:val="003A367A"/>
    <w:rsid w:val="00440BCF"/>
    <w:rsid w:val="00660361"/>
    <w:rsid w:val="006644D2"/>
    <w:rsid w:val="00816ED2"/>
    <w:rsid w:val="00847051"/>
    <w:rsid w:val="00850EC0"/>
    <w:rsid w:val="008E5100"/>
    <w:rsid w:val="009A6665"/>
    <w:rsid w:val="009D66B6"/>
    <w:rsid w:val="00B03FA0"/>
    <w:rsid w:val="00C83BE8"/>
    <w:rsid w:val="00CB6DA8"/>
    <w:rsid w:val="00D604E1"/>
    <w:rsid w:val="00DD578A"/>
    <w:rsid w:val="00F3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CE0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semiHidden/>
    <w:unhideWhenUsed/>
    <w:qFormat/>
    <w:rsid w:val="00816ED2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14B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816ED2"/>
    <w:rPr>
      <w:rFonts w:ascii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6036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3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361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60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361"/>
  </w:style>
  <w:style w:type="character" w:styleId="Nmerodepgina">
    <w:name w:val="page number"/>
    <w:basedOn w:val="Fuentedeprrafopredeter"/>
    <w:uiPriority w:val="99"/>
    <w:semiHidden/>
    <w:unhideWhenUsed/>
    <w:rsid w:val="00660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semiHidden/>
    <w:unhideWhenUsed/>
    <w:qFormat/>
    <w:rsid w:val="00816ED2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2614B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uiPriority w:val="9"/>
    <w:semiHidden/>
    <w:rsid w:val="00816ED2"/>
    <w:rPr>
      <w:rFonts w:ascii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66036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036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0361"/>
    <w:rPr>
      <w:rFonts w:ascii="Lucida Grande" w:hAnsi="Lucida Grande" w:cs="Lucida Grande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6603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361"/>
  </w:style>
  <w:style w:type="character" w:styleId="Nmerodepgina">
    <w:name w:val="page number"/>
    <w:basedOn w:val="Fuentedeprrafopredeter"/>
    <w:uiPriority w:val="99"/>
    <w:semiHidden/>
    <w:unhideWhenUsed/>
    <w:rsid w:val="0066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ermi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AA1A-3398-480A-9F3D-5B70E6C98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RSI</dc:creator>
  <cp:lastModifiedBy>HP</cp:lastModifiedBy>
  <cp:revision>2</cp:revision>
  <dcterms:created xsi:type="dcterms:W3CDTF">2020-04-22T11:22:00Z</dcterms:created>
  <dcterms:modified xsi:type="dcterms:W3CDTF">2020-04-22T11:22:00Z</dcterms:modified>
</cp:coreProperties>
</file>