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70A4C" w14:textId="77777777" w:rsidR="002E6E26" w:rsidRPr="007C3E61" w:rsidRDefault="00CA3673" w:rsidP="00CA3673">
      <w:pPr>
        <w:jc w:val="center"/>
        <w:rPr>
          <w:rFonts w:asciiTheme="majorHAnsi" w:hAnsiTheme="majorHAnsi"/>
          <w:sz w:val="28"/>
          <w:szCs w:val="28"/>
        </w:rPr>
      </w:pPr>
      <w:bookmarkStart w:id="0" w:name="_GoBack"/>
      <w:bookmarkEnd w:id="0"/>
      <w:r w:rsidRPr="007C3E61">
        <w:rPr>
          <w:rFonts w:asciiTheme="majorHAnsi" w:hAnsiTheme="majorHAnsi"/>
          <w:noProof/>
          <w:sz w:val="28"/>
          <w:szCs w:val="28"/>
          <w:lang w:eastAsia="es-ES"/>
        </w:rPr>
        <w:drawing>
          <wp:inline distT="0" distB="0" distL="0" distR="0" wp14:anchorId="58D0AA24" wp14:editId="581C0BB5">
            <wp:extent cx="1345412" cy="1081677"/>
            <wp:effectExtent l="0" t="0" r="7620" b="444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MIyODS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5254" cy="1081550"/>
                    </a:xfrm>
                    <a:prstGeom prst="rect">
                      <a:avLst/>
                    </a:prstGeom>
                  </pic:spPr>
                </pic:pic>
              </a:graphicData>
            </a:graphic>
          </wp:inline>
        </w:drawing>
      </w:r>
    </w:p>
    <w:p w14:paraId="6C72F207" w14:textId="77777777" w:rsidR="007C3E61" w:rsidRPr="007C3E61" w:rsidRDefault="00CA3673" w:rsidP="007C3E61">
      <w:pPr>
        <w:pStyle w:val="NormalWeb"/>
        <w:pBdr>
          <w:bottom w:val="single" w:sz="12" w:space="1" w:color="auto"/>
        </w:pBdr>
        <w:shd w:val="clear" w:color="auto" w:fill="FFFFFF"/>
        <w:spacing w:after="240" w:line="336" w:lineRule="atLeast"/>
        <w:jc w:val="center"/>
        <w:rPr>
          <w:rFonts w:asciiTheme="majorHAnsi" w:hAnsiTheme="majorHAnsi" w:cs="Arial"/>
          <w:b/>
          <w:color w:val="32393D"/>
          <w:sz w:val="28"/>
          <w:szCs w:val="28"/>
        </w:rPr>
      </w:pPr>
      <w:r w:rsidRPr="007C3E61">
        <w:rPr>
          <w:rFonts w:asciiTheme="majorHAnsi" w:hAnsiTheme="majorHAnsi" w:cs="Arial"/>
          <w:b/>
          <w:color w:val="32393D"/>
          <w:sz w:val="28"/>
          <w:szCs w:val="28"/>
        </w:rPr>
        <w:t xml:space="preserve">PROPUESTAS DEL CERMI  PARA EL FORO PROMOVIDO POR EL CONSEJO DE DERECHOS HUMANOS </w:t>
      </w:r>
      <w:r w:rsidR="007C3E61">
        <w:rPr>
          <w:rFonts w:asciiTheme="majorHAnsi" w:hAnsiTheme="majorHAnsi" w:cs="Arial"/>
          <w:b/>
          <w:color w:val="32393D"/>
          <w:sz w:val="28"/>
          <w:szCs w:val="28"/>
        </w:rPr>
        <w:t xml:space="preserve"> DE NACIONES UNIDAS </w:t>
      </w:r>
      <w:r w:rsidRPr="007C3E61">
        <w:rPr>
          <w:rFonts w:asciiTheme="majorHAnsi" w:hAnsiTheme="majorHAnsi" w:cs="Arial"/>
          <w:b/>
          <w:color w:val="32393D"/>
          <w:sz w:val="28"/>
          <w:szCs w:val="28"/>
        </w:rPr>
        <w:t>SOBRE  IGUA</w:t>
      </w:r>
      <w:r w:rsidR="007C3E61">
        <w:rPr>
          <w:rFonts w:asciiTheme="majorHAnsi" w:hAnsiTheme="majorHAnsi" w:cs="Arial"/>
          <w:b/>
          <w:color w:val="32393D"/>
          <w:sz w:val="28"/>
          <w:szCs w:val="28"/>
        </w:rPr>
        <w:t>L ACCESO A LA JUSTICIA PARA TODA</w:t>
      </w:r>
      <w:r w:rsidRPr="007C3E61">
        <w:rPr>
          <w:rFonts w:asciiTheme="majorHAnsi" w:hAnsiTheme="majorHAnsi" w:cs="Arial"/>
          <w:b/>
          <w:color w:val="32393D"/>
          <w:sz w:val="28"/>
          <w:szCs w:val="28"/>
        </w:rPr>
        <w:t>S</w:t>
      </w:r>
      <w:r w:rsidR="007C3E61">
        <w:rPr>
          <w:rFonts w:asciiTheme="majorHAnsi" w:hAnsiTheme="majorHAnsi" w:cs="Arial"/>
          <w:b/>
          <w:color w:val="32393D"/>
          <w:sz w:val="28"/>
          <w:szCs w:val="28"/>
        </w:rPr>
        <w:t xml:space="preserve"> LAS PERSONAS</w:t>
      </w:r>
      <w:r w:rsidRPr="007C3E61">
        <w:rPr>
          <w:rFonts w:asciiTheme="majorHAnsi" w:hAnsiTheme="majorHAnsi" w:cs="Arial"/>
          <w:b/>
          <w:color w:val="32393D"/>
          <w:sz w:val="28"/>
          <w:szCs w:val="28"/>
        </w:rPr>
        <w:t>: UN ELEMENTO NECESARIO DE LA DEMOCRACIA, EL ESTADO DE DERECHO Y LA PRO</w:t>
      </w:r>
      <w:r w:rsidR="007C3E61" w:rsidRPr="007C3E61">
        <w:rPr>
          <w:rFonts w:asciiTheme="majorHAnsi" w:hAnsiTheme="majorHAnsi" w:cs="Arial"/>
          <w:b/>
          <w:color w:val="32393D"/>
          <w:sz w:val="28"/>
          <w:szCs w:val="28"/>
        </w:rPr>
        <w:t>TECCIÓN DE LOS DERECHOS HUMANOS</w:t>
      </w:r>
    </w:p>
    <w:p w14:paraId="10BBF074" w14:textId="77777777" w:rsidR="00C42124" w:rsidRPr="007C3E61" w:rsidRDefault="00C42124" w:rsidP="00C42124">
      <w:pPr>
        <w:pStyle w:val="NormalWeb"/>
        <w:shd w:val="clear" w:color="auto" w:fill="FFFFFF"/>
        <w:spacing w:after="240" w:line="336" w:lineRule="atLeast"/>
        <w:jc w:val="both"/>
        <w:rPr>
          <w:rFonts w:asciiTheme="majorHAnsi" w:hAnsiTheme="majorHAnsi" w:cs="Arial"/>
          <w:color w:val="32393D"/>
          <w:sz w:val="28"/>
          <w:szCs w:val="28"/>
        </w:rPr>
      </w:pPr>
      <w:r w:rsidRPr="007C3E61">
        <w:rPr>
          <w:rFonts w:asciiTheme="majorHAnsi" w:hAnsiTheme="majorHAnsi" w:cs="Arial"/>
          <w:color w:val="32393D"/>
          <w:sz w:val="28"/>
          <w:szCs w:val="28"/>
        </w:rPr>
        <w:t xml:space="preserve">El Comité Español de Representantes de Personas con Discapacidades (CERMI), </w:t>
      </w:r>
      <w:r w:rsidR="007C3E61">
        <w:rPr>
          <w:rFonts w:asciiTheme="majorHAnsi" w:hAnsiTheme="majorHAnsi" w:cs="Arial"/>
          <w:color w:val="32393D"/>
          <w:sz w:val="28"/>
          <w:szCs w:val="28"/>
        </w:rPr>
        <w:t xml:space="preserve">es la </w:t>
      </w:r>
      <w:r w:rsidRPr="007C3E61">
        <w:rPr>
          <w:rFonts w:asciiTheme="majorHAnsi" w:hAnsiTheme="majorHAnsi" w:cs="Arial"/>
          <w:color w:val="32393D"/>
          <w:sz w:val="28"/>
          <w:szCs w:val="28"/>
        </w:rPr>
        <w:t xml:space="preserve">organización </w:t>
      </w:r>
      <w:r w:rsidR="007C3E61">
        <w:rPr>
          <w:rFonts w:asciiTheme="majorHAnsi" w:hAnsiTheme="majorHAnsi" w:cs="Arial"/>
          <w:color w:val="32393D"/>
          <w:sz w:val="28"/>
          <w:szCs w:val="28"/>
        </w:rPr>
        <w:t xml:space="preserve">de la sociedad civil </w:t>
      </w:r>
      <w:r w:rsidRPr="007C3E61">
        <w:rPr>
          <w:rFonts w:asciiTheme="majorHAnsi" w:hAnsiTheme="majorHAnsi" w:cs="Arial"/>
          <w:color w:val="32393D"/>
          <w:sz w:val="28"/>
          <w:szCs w:val="28"/>
        </w:rPr>
        <w:t xml:space="preserve">expresión del movimiento de personas con discapacidad y sus familias para la incidencia política en España. </w:t>
      </w:r>
      <w:r w:rsidR="007C3E61">
        <w:rPr>
          <w:rFonts w:asciiTheme="majorHAnsi" w:hAnsiTheme="majorHAnsi" w:cs="Arial"/>
          <w:color w:val="32393D"/>
          <w:sz w:val="28"/>
          <w:szCs w:val="28"/>
        </w:rPr>
        <w:t xml:space="preserve">Su </w:t>
      </w:r>
      <w:r w:rsidRPr="007C3E61">
        <w:rPr>
          <w:rFonts w:asciiTheme="majorHAnsi" w:hAnsiTheme="majorHAnsi" w:cs="Arial"/>
          <w:color w:val="32393D"/>
          <w:sz w:val="28"/>
          <w:szCs w:val="28"/>
        </w:rPr>
        <w:t xml:space="preserve">misión </w:t>
      </w:r>
      <w:r w:rsidR="007C3E61">
        <w:rPr>
          <w:rFonts w:asciiTheme="majorHAnsi" w:hAnsiTheme="majorHAnsi" w:cs="Arial"/>
          <w:color w:val="32393D"/>
          <w:sz w:val="28"/>
          <w:szCs w:val="28"/>
        </w:rPr>
        <w:t xml:space="preserve">es la de </w:t>
      </w:r>
      <w:r w:rsidRPr="007C3E61">
        <w:rPr>
          <w:rFonts w:asciiTheme="majorHAnsi" w:hAnsiTheme="majorHAnsi" w:cs="Arial"/>
          <w:color w:val="32393D"/>
          <w:sz w:val="28"/>
          <w:szCs w:val="28"/>
        </w:rPr>
        <w:t xml:space="preserve">proteger y promover los derechos </w:t>
      </w:r>
      <w:r w:rsidR="007C3E61">
        <w:rPr>
          <w:rFonts w:asciiTheme="majorHAnsi" w:hAnsiTheme="majorHAnsi" w:cs="Arial"/>
          <w:color w:val="32393D"/>
          <w:sz w:val="28"/>
          <w:szCs w:val="28"/>
        </w:rPr>
        <w:t xml:space="preserve">humanos </w:t>
      </w:r>
      <w:r w:rsidRPr="007C3E61">
        <w:rPr>
          <w:rFonts w:asciiTheme="majorHAnsi" w:hAnsiTheme="majorHAnsi" w:cs="Arial"/>
          <w:color w:val="32393D"/>
          <w:sz w:val="28"/>
          <w:szCs w:val="28"/>
        </w:rPr>
        <w:t xml:space="preserve">e intereses de las personas con discapacidad, </w:t>
      </w:r>
      <w:r w:rsidR="007C3E61">
        <w:rPr>
          <w:rFonts w:asciiTheme="majorHAnsi" w:hAnsiTheme="majorHAnsi" w:cs="Arial"/>
          <w:color w:val="32393D"/>
          <w:sz w:val="28"/>
          <w:szCs w:val="28"/>
        </w:rPr>
        <w:t xml:space="preserve">accionando un marco político, legislativo y social </w:t>
      </w:r>
      <w:r w:rsidRPr="007C3E61">
        <w:rPr>
          <w:rFonts w:asciiTheme="majorHAnsi" w:hAnsiTheme="majorHAnsi" w:cs="Arial"/>
          <w:color w:val="32393D"/>
          <w:sz w:val="28"/>
          <w:szCs w:val="28"/>
        </w:rPr>
        <w:t xml:space="preserve">que </w:t>
      </w:r>
      <w:r w:rsidR="007C3E61">
        <w:rPr>
          <w:rFonts w:asciiTheme="majorHAnsi" w:hAnsiTheme="majorHAnsi" w:cs="Arial"/>
          <w:color w:val="32393D"/>
          <w:sz w:val="28"/>
          <w:szCs w:val="28"/>
        </w:rPr>
        <w:t xml:space="preserve">asegure </w:t>
      </w:r>
      <w:r w:rsidRPr="007C3E61">
        <w:rPr>
          <w:rFonts w:asciiTheme="majorHAnsi" w:hAnsiTheme="majorHAnsi" w:cs="Arial"/>
          <w:color w:val="32393D"/>
          <w:sz w:val="28"/>
          <w:szCs w:val="28"/>
        </w:rPr>
        <w:t>la inclusión, la igualdad</w:t>
      </w:r>
      <w:r w:rsidR="007C3E61">
        <w:rPr>
          <w:rFonts w:asciiTheme="majorHAnsi" w:hAnsiTheme="majorHAnsi" w:cs="Arial"/>
          <w:color w:val="32393D"/>
          <w:sz w:val="28"/>
          <w:szCs w:val="28"/>
        </w:rPr>
        <w:t>, el bienestar</w:t>
      </w:r>
      <w:r w:rsidRPr="007C3E61">
        <w:rPr>
          <w:rFonts w:asciiTheme="majorHAnsi" w:hAnsiTheme="majorHAnsi" w:cs="Arial"/>
          <w:color w:val="32393D"/>
          <w:sz w:val="28"/>
          <w:szCs w:val="28"/>
        </w:rPr>
        <w:t xml:space="preserve"> y la no discriminación</w:t>
      </w:r>
      <w:r w:rsidR="007C3E61">
        <w:rPr>
          <w:rFonts w:asciiTheme="majorHAnsi" w:hAnsiTheme="majorHAnsi" w:cs="Arial"/>
          <w:color w:val="32393D"/>
          <w:sz w:val="28"/>
          <w:szCs w:val="28"/>
        </w:rPr>
        <w:t xml:space="preserve"> de las personas con discapacidad</w:t>
      </w:r>
      <w:r w:rsidRPr="007C3E61">
        <w:rPr>
          <w:rFonts w:asciiTheme="majorHAnsi" w:hAnsiTheme="majorHAnsi" w:cs="Arial"/>
          <w:color w:val="32393D"/>
          <w:sz w:val="28"/>
          <w:szCs w:val="28"/>
        </w:rPr>
        <w:t>.</w:t>
      </w:r>
    </w:p>
    <w:p w14:paraId="15045A00" w14:textId="77777777" w:rsidR="00C42124" w:rsidRPr="007C3E61" w:rsidRDefault="00C42124" w:rsidP="00C42124">
      <w:pPr>
        <w:pStyle w:val="NormalWeb"/>
        <w:shd w:val="clear" w:color="auto" w:fill="FFFFFF"/>
        <w:spacing w:before="0" w:beforeAutospacing="0" w:after="240" w:afterAutospacing="0" w:line="336" w:lineRule="atLeast"/>
        <w:jc w:val="both"/>
        <w:rPr>
          <w:rFonts w:asciiTheme="majorHAnsi" w:hAnsiTheme="majorHAnsi" w:cs="Arial"/>
          <w:color w:val="32393D"/>
          <w:sz w:val="28"/>
          <w:szCs w:val="28"/>
        </w:rPr>
      </w:pPr>
      <w:r w:rsidRPr="007C3E61">
        <w:rPr>
          <w:rFonts w:asciiTheme="majorHAnsi" w:hAnsiTheme="majorHAnsi" w:cs="Arial"/>
          <w:color w:val="32393D"/>
          <w:sz w:val="28"/>
          <w:szCs w:val="28"/>
        </w:rPr>
        <w:t xml:space="preserve">El CERMI fue designado oficialmente por el Estado español como un mecanismo independiente de seguimiento de la aplicación de la Convención Internacional sobre los Derechos de las Personas con Discapacidad en </w:t>
      </w:r>
      <w:r w:rsidR="007C3E61">
        <w:rPr>
          <w:rFonts w:asciiTheme="majorHAnsi" w:hAnsiTheme="majorHAnsi" w:cs="Arial"/>
          <w:color w:val="32393D"/>
          <w:sz w:val="28"/>
          <w:szCs w:val="28"/>
        </w:rPr>
        <w:t>España. Esto le otorga una posición</w:t>
      </w:r>
      <w:r w:rsidRPr="007C3E61">
        <w:rPr>
          <w:rFonts w:asciiTheme="majorHAnsi" w:hAnsiTheme="majorHAnsi" w:cs="Arial"/>
          <w:color w:val="32393D"/>
          <w:sz w:val="28"/>
          <w:szCs w:val="28"/>
        </w:rPr>
        <w:t xml:space="preserve"> </w:t>
      </w:r>
      <w:r w:rsidR="007C3E61">
        <w:rPr>
          <w:rFonts w:asciiTheme="majorHAnsi" w:hAnsiTheme="majorHAnsi" w:cs="Arial"/>
          <w:color w:val="32393D"/>
          <w:sz w:val="28"/>
          <w:szCs w:val="28"/>
        </w:rPr>
        <w:t xml:space="preserve">reforzada </w:t>
      </w:r>
      <w:r w:rsidRPr="007C3E61">
        <w:rPr>
          <w:rFonts w:asciiTheme="majorHAnsi" w:hAnsiTheme="majorHAnsi" w:cs="Arial"/>
          <w:color w:val="32393D"/>
          <w:sz w:val="28"/>
          <w:szCs w:val="28"/>
        </w:rPr>
        <w:t xml:space="preserve">ante  </w:t>
      </w:r>
      <w:r w:rsidR="007C3E61">
        <w:rPr>
          <w:rFonts w:asciiTheme="majorHAnsi" w:hAnsiTheme="majorHAnsi" w:cs="Arial"/>
          <w:color w:val="32393D"/>
          <w:sz w:val="28"/>
          <w:szCs w:val="28"/>
        </w:rPr>
        <w:t xml:space="preserve">el Sistema de </w:t>
      </w:r>
      <w:r w:rsidRPr="007C3E61">
        <w:rPr>
          <w:rFonts w:asciiTheme="majorHAnsi" w:hAnsiTheme="majorHAnsi" w:cs="Arial"/>
          <w:color w:val="32393D"/>
          <w:sz w:val="28"/>
          <w:szCs w:val="28"/>
        </w:rPr>
        <w:t xml:space="preserve">Naciones Unidas y </w:t>
      </w:r>
      <w:r w:rsidR="007C3E61">
        <w:rPr>
          <w:rFonts w:asciiTheme="majorHAnsi" w:hAnsiTheme="majorHAnsi" w:cs="Arial"/>
          <w:color w:val="32393D"/>
          <w:sz w:val="28"/>
          <w:szCs w:val="28"/>
        </w:rPr>
        <w:t>ante el propio Estado español en el monitoreo del tratado internacional de la discapacidad</w:t>
      </w:r>
      <w:r w:rsidRPr="007C3E61">
        <w:rPr>
          <w:rFonts w:asciiTheme="majorHAnsi" w:hAnsiTheme="majorHAnsi" w:cs="Arial"/>
          <w:color w:val="32393D"/>
          <w:sz w:val="28"/>
          <w:szCs w:val="28"/>
        </w:rPr>
        <w:t>. Asimismo, desde 2011</w:t>
      </w:r>
      <w:r w:rsidR="007C3E61">
        <w:rPr>
          <w:rFonts w:asciiTheme="majorHAnsi" w:hAnsiTheme="majorHAnsi" w:cs="Arial"/>
          <w:color w:val="32393D"/>
          <w:sz w:val="28"/>
          <w:szCs w:val="28"/>
        </w:rPr>
        <w:t>,</w:t>
      </w:r>
      <w:r w:rsidRPr="007C3E61">
        <w:rPr>
          <w:rFonts w:asciiTheme="majorHAnsi" w:hAnsiTheme="majorHAnsi" w:cs="Arial"/>
          <w:color w:val="32393D"/>
          <w:sz w:val="28"/>
          <w:szCs w:val="28"/>
        </w:rPr>
        <w:t xml:space="preserve"> el CERMI cuenta con e</w:t>
      </w:r>
      <w:r w:rsidR="007C3E61">
        <w:rPr>
          <w:rFonts w:asciiTheme="majorHAnsi" w:hAnsiTheme="majorHAnsi" w:cs="Arial"/>
          <w:color w:val="32393D"/>
          <w:sz w:val="28"/>
          <w:szCs w:val="28"/>
        </w:rPr>
        <w:t xml:space="preserve">l estatus consultivo especial ante el </w:t>
      </w:r>
      <w:r w:rsidRPr="007C3E61">
        <w:rPr>
          <w:rFonts w:asciiTheme="majorHAnsi" w:hAnsiTheme="majorHAnsi" w:cs="Arial"/>
          <w:color w:val="32393D"/>
          <w:sz w:val="28"/>
          <w:szCs w:val="28"/>
        </w:rPr>
        <w:t xml:space="preserve"> ECOSOC.</w:t>
      </w:r>
    </w:p>
    <w:p w14:paraId="62FD6CE4" w14:textId="1F72113D" w:rsidR="00C42124" w:rsidRPr="007C3E61" w:rsidRDefault="00C42124" w:rsidP="00C42124">
      <w:pPr>
        <w:pStyle w:val="NormalWeb"/>
        <w:shd w:val="clear" w:color="auto" w:fill="FFFFFF"/>
        <w:spacing w:before="0" w:beforeAutospacing="0" w:after="240" w:afterAutospacing="0" w:line="336" w:lineRule="atLeast"/>
        <w:jc w:val="both"/>
        <w:rPr>
          <w:rFonts w:asciiTheme="majorHAnsi" w:hAnsiTheme="majorHAnsi" w:cs="Arial"/>
          <w:color w:val="32393D"/>
          <w:sz w:val="28"/>
          <w:szCs w:val="28"/>
        </w:rPr>
      </w:pPr>
      <w:r w:rsidRPr="007C3E61">
        <w:rPr>
          <w:rFonts w:asciiTheme="majorHAnsi" w:hAnsiTheme="majorHAnsi" w:cs="Arial"/>
          <w:color w:val="32393D"/>
          <w:sz w:val="28"/>
          <w:szCs w:val="28"/>
        </w:rPr>
        <w:t>El CERMI</w:t>
      </w:r>
      <w:r w:rsidR="007C3E61">
        <w:rPr>
          <w:rFonts w:asciiTheme="majorHAnsi" w:hAnsiTheme="majorHAnsi" w:cs="Arial"/>
          <w:color w:val="32393D"/>
          <w:sz w:val="28"/>
          <w:szCs w:val="28"/>
        </w:rPr>
        <w:t>,</w:t>
      </w:r>
      <w:r w:rsidRPr="007C3E61">
        <w:rPr>
          <w:rFonts w:asciiTheme="majorHAnsi" w:hAnsiTheme="majorHAnsi" w:cs="Arial"/>
          <w:color w:val="32393D"/>
          <w:sz w:val="28"/>
          <w:szCs w:val="28"/>
        </w:rPr>
        <w:t xml:space="preserve"> </w:t>
      </w:r>
      <w:r w:rsidR="007C3E61">
        <w:rPr>
          <w:rFonts w:asciiTheme="majorHAnsi" w:hAnsiTheme="majorHAnsi" w:cs="Arial"/>
          <w:color w:val="32393D"/>
          <w:sz w:val="28"/>
          <w:szCs w:val="28"/>
        </w:rPr>
        <w:t>en relación con e</w:t>
      </w:r>
      <w:r w:rsidRPr="007C3E61">
        <w:rPr>
          <w:rFonts w:asciiTheme="majorHAnsi" w:hAnsiTheme="majorHAnsi" w:cs="Arial"/>
          <w:color w:val="32393D"/>
          <w:sz w:val="28"/>
          <w:szCs w:val="28"/>
        </w:rPr>
        <w:t xml:space="preserve">l Foro promovido por el Consejo de Derechos Humanos sobre  </w:t>
      </w:r>
      <w:r w:rsidR="00DF0975">
        <w:rPr>
          <w:rFonts w:asciiTheme="majorHAnsi" w:hAnsiTheme="majorHAnsi" w:cs="Arial"/>
          <w:b/>
          <w:i/>
          <w:color w:val="32393D"/>
          <w:sz w:val="28"/>
          <w:szCs w:val="28"/>
        </w:rPr>
        <w:t>Igual acceso a la J</w:t>
      </w:r>
      <w:r w:rsidR="00A92EFA">
        <w:rPr>
          <w:rFonts w:asciiTheme="majorHAnsi" w:hAnsiTheme="majorHAnsi" w:cs="Arial"/>
          <w:b/>
          <w:i/>
          <w:color w:val="32393D"/>
          <w:sz w:val="28"/>
          <w:szCs w:val="28"/>
        </w:rPr>
        <w:t>usticia para todos: U</w:t>
      </w:r>
      <w:r w:rsidRPr="007C3E61">
        <w:rPr>
          <w:rFonts w:asciiTheme="majorHAnsi" w:hAnsiTheme="majorHAnsi" w:cs="Arial"/>
          <w:b/>
          <w:i/>
          <w:color w:val="32393D"/>
          <w:sz w:val="28"/>
          <w:szCs w:val="28"/>
        </w:rPr>
        <w:t>n elemento necesario de la democracia, e</w:t>
      </w:r>
      <w:r w:rsidR="007C3E61">
        <w:rPr>
          <w:rFonts w:asciiTheme="majorHAnsi" w:hAnsiTheme="majorHAnsi" w:cs="Arial"/>
          <w:b/>
          <w:i/>
          <w:color w:val="32393D"/>
          <w:sz w:val="28"/>
          <w:szCs w:val="28"/>
        </w:rPr>
        <w:t>l Estado de D</w:t>
      </w:r>
      <w:r w:rsidRPr="007C3E61">
        <w:rPr>
          <w:rFonts w:asciiTheme="majorHAnsi" w:hAnsiTheme="majorHAnsi" w:cs="Arial"/>
          <w:b/>
          <w:i/>
          <w:color w:val="32393D"/>
          <w:sz w:val="28"/>
          <w:szCs w:val="28"/>
        </w:rPr>
        <w:t>erecho y la protección de los derechos humanos</w:t>
      </w:r>
      <w:r w:rsidR="008173FE" w:rsidRPr="007C3E61">
        <w:rPr>
          <w:rFonts w:asciiTheme="majorHAnsi" w:hAnsiTheme="majorHAnsi" w:cs="Arial"/>
          <w:color w:val="32393D"/>
          <w:sz w:val="28"/>
          <w:szCs w:val="28"/>
        </w:rPr>
        <w:t>, propone:</w:t>
      </w:r>
    </w:p>
    <w:p w14:paraId="2F475E31" w14:textId="77777777" w:rsidR="00C42124" w:rsidRPr="007C3E61" w:rsidRDefault="00C42124" w:rsidP="00C42124">
      <w:pPr>
        <w:pStyle w:val="NormalWeb"/>
        <w:numPr>
          <w:ilvl w:val="0"/>
          <w:numId w:val="1"/>
        </w:numPr>
        <w:shd w:val="clear" w:color="auto" w:fill="FFFFFF"/>
        <w:spacing w:before="0" w:beforeAutospacing="0" w:after="240" w:afterAutospacing="0" w:line="336" w:lineRule="atLeast"/>
        <w:jc w:val="both"/>
        <w:rPr>
          <w:rFonts w:asciiTheme="majorHAnsi" w:hAnsiTheme="majorHAnsi" w:cs="Arial"/>
          <w:color w:val="32393D"/>
          <w:sz w:val="28"/>
          <w:szCs w:val="28"/>
        </w:rPr>
      </w:pPr>
      <w:r w:rsidRPr="007C3E61">
        <w:rPr>
          <w:rFonts w:asciiTheme="majorHAnsi" w:hAnsiTheme="majorHAnsi" w:cs="Arial"/>
          <w:color w:val="32393D"/>
          <w:sz w:val="28"/>
          <w:szCs w:val="28"/>
        </w:rPr>
        <w:t xml:space="preserve">Considerar la Convención </w:t>
      </w:r>
      <w:r w:rsidR="00CA3673" w:rsidRPr="007C3E61">
        <w:rPr>
          <w:rFonts w:asciiTheme="majorHAnsi" w:hAnsiTheme="majorHAnsi" w:cs="Arial"/>
          <w:color w:val="32393D"/>
          <w:sz w:val="28"/>
          <w:szCs w:val="28"/>
        </w:rPr>
        <w:t>Internacional</w:t>
      </w:r>
      <w:r w:rsidR="007C3E61">
        <w:rPr>
          <w:rFonts w:asciiTheme="majorHAnsi" w:hAnsiTheme="majorHAnsi" w:cs="Arial"/>
          <w:color w:val="32393D"/>
          <w:sz w:val="28"/>
          <w:szCs w:val="28"/>
        </w:rPr>
        <w:t xml:space="preserve"> sobre los D</w:t>
      </w:r>
      <w:r w:rsidRPr="007C3E61">
        <w:rPr>
          <w:rFonts w:asciiTheme="majorHAnsi" w:hAnsiTheme="majorHAnsi" w:cs="Arial"/>
          <w:color w:val="32393D"/>
          <w:sz w:val="28"/>
          <w:szCs w:val="28"/>
        </w:rPr>
        <w:t>erechos de</w:t>
      </w:r>
      <w:r w:rsidR="007C3E61">
        <w:rPr>
          <w:rFonts w:asciiTheme="majorHAnsi" w:hAnsiTheme="majorHAnsi" w:cs="Arial"/>
          <w:color w:val="32393D"/>
          <w:sz w:val="28"/>
          <w:szCs w:val="28"/>
        </w:rPr>
        <w:t xml:space="preserve"> las Personas con D</w:t>
      </w:r>
      <w:r w:rsidRPr="007C3E61">
        <w:rPr>
          <w:rFonts w:asciiTheme="majorHAnsi" w:hAnsiTheme="majorHAnsi" w:cs="Arial"/>
          <w:color w:val="32393D"/>
          <w:sz w:val="28"/>
          <w:szCs w:val="28"/>
        </w:rPr>
        <w:t>iscapacidad, en el d</w:t>
      </w:r>
      <w:r w:rsidR="00CA3673" w:rsidRPr="007C3E61">
        <w:rPr>
          <w:rFonts w:asciiTheme="majorHAnsi" w:hAnsiTheme="majorHAnsi" w:cs="Arial"/>
          <w:color w:val="32393D"/>
          <w:sz w:val="28"/>
          <w:szCs w:val="28"/>
        </w:rPr>
        <w:t>eba</w:t>
      </w:r>
      <w:r w:rsidRPr="007C3E61">
        <w:rPr>
          <w:rFonts w:asciiTheme="majorHAnsi" w:hAnsiTheme="majorHAnsi" w:cs="Arial"/>
          <w:color w:val="32393D"/>
          <w:sz w:val="28"/>
          <w:szCs w:val="28"/>
        </w:rPr>
        <w:t>t</w:t>
      </w:r>
      <w:r w:rsidR="00CA3673" w:rsidRPr="007C3E61">
        <w:rPr>
          <w:rFonts w:asciiTheme="majorHAnsi" w:hAnsiTheme="majorHAnsi" w:cs="Arial"/>
          <w:color w:val="32393D"/>
          <w:sz w:val="28"/>
          <w:szCs w:val="28"/>
        </w:rPr>
        <w:t>e</w:t>
      </w:r>
      <w:r w:rsidRPr="007C3E61">
        <w:rPr>
          <w:rFonts w:asciiTheme="majorHAnsi" w:hAnsiTheme="majorHAnsi" w:cs="Arial"/>
          <w:color w:val="32393D"/>
          <w:sz w:val="28"/>
          <w:szCs w:val="28"/>
        </w:rPr>
        <w:t xml:space="preserve"> y reflexiones del Foro.</w:t>
      </w:r>
    </w:p>
    <w:p w14:paraId="5FF53ED6" w14:textId="77777777" w:rsidR="00C42124" w:rsidRPr="007C3E61" w:rsidRDefault="00C42124" w:rsidP="00C42124">
      <w:pPr>
        <w:pStyle w:val="NormalWeb"/>
        <w:numPr>
          <w:ilvl w:val="0"/>
          <w:numId w:val="1"/>
        </w:numPr>
        <w:shd w:val="clear" w:color="auto" w:fill="FFFFFF"/>
        <w:spacing w:before="0" w:beforeAutospacing="0" w:after="240" w:afterAutospacing="0" w:line="336" w:lineRule="atLeast"/>
        <w:jc w:val="both"/>
        <w:rPr>
          <w:rFonts w:asciiTheme="majorHAnsi" w:hAnsiTheme="majorHAnsi" w:cs="Arial"/>
          <w:color w:val="32393D"/>
          <w:sz w:val="28"/>
          <w:szCs w:val="28"/>
        </w:rPr>
      </w:pPr>
      <w:r w:rsidRPr="007C3E61">
        <w:rPr>
          <w:rFonts w:asciiTheme="majorHAnsi" w:hAnsiTheme="majorHAnsi" w:cs="Arial"/>
          <w:color w:val="32393D"/>
          <w:sz w:val="28"/>
          <w:szCs w:val="28"/>
        </w:rPr>
        <w:t xml:space="preserve">La Convención </w:t>
      </w:r>
      <w:r w:rsidR="007C3E61">
        <w:rPr>
          <w:rFonts w:asciiTheme="majorHAnsi" w:hAnsiTheme="majorHAnsi" w:cs="Arial"/>
          <w:color w:val="32393D"/>
          <w:sz w:val="28"/>
          <w:szCs w:val="28"/>
        </w:rPr>
        <w:t xml:space="preserve">citada </w:t>
      </w:r>
      <w:r w:rsidRPr="007C3E61">
        <w:rPr>
          <w:rFonts w:asciiTheme="majorHAnsi" w:hAnsiTheme="majorHAnsi" w:cs="Arial"/>
          <w:color w:val="32393D"/>
          <w:sz w:val="28"/>
          <w:szCs w:val="28"/>
        </w:rPr>
        <w:t xml:space="preserve">establece en su artículo 12 que ninguna persona con discapacidad puede ver </w:t>
      </w:r>
      <w:r w:rsidR="007C3E61">
        <w:rPr>
          <w:rFonts w:asciiTheme="majorHAnsi" w:hAnsiTheme="majorHAnsi" w:cs="Arial"/>
          <w:color w:val="32393D"/>
          <w:sz w:val="28"/>
          <w:szCs w:val="28"/>
        </w:rPr>
        <w:t xml:space="preserve">menoscabados </w:t>
      </w:r>
      <w:r w:rsidRPr="007C3E61">
        <w:rPr>
          <w:rFonts w:asciiTheme="majorHAnsi" w:hAnsiTheme="majorHAnsi" w:cs="Arial"/>
          <w:color w:val="32393D"/>
          <w:sz w:val="28"/>
          <w:szCs w:val="28"/>
        </w:rPr>
        <w:t xml:space="preserve">sus derechos a la igual capacidad jurídica por razón de discapacidad. El igual </w:t>
      </w:r>
      <w:r w:rsidRPr="007C3E61">
        <w:rPr>
          <w:rFonts w:asciiTheme="majorHAnsi" w:hAnsiTheme="majorHAnsi" w:cs="Arial"/>
          <w:color w:val="32393D"/>
          <w:sz w:val="28"/>
          <w:szCs w:val="28"/>
        </w:rPr>
        <w:lastRenderedPageBreak/>
        <w:t xml:space="preserve">reconocimiento ante la ley es esencial en el contexto de los derechos humanos. Este concepto, a menudo descrito como “el derecho a tener derechos”, </w:t>
      </w:r>
      <w:r w:rsidR="007C3E61">
        <w:rPr>
          <w:rFonts w:asciiTheme="majorHAnsi" w:hAnsiTheme="majorHAnsi" w:cs="Arial"/>
          <w:color w:val="32393D"/>
          <w:sz w:val="28"/>
          <w:szCs w:val="28"/>
        </w:rPr>
        <w:t>ancla la facultad</w:t>
      </w:r>
      <w:r w:rsidRPr="007C3E61">
        <w:rPr>
          <w:rFonts w:asciiTheme="majorHAnsi" w:hAnsiTheme="majorHAnsi" w:cs="Arial"/>
          <w:color w:val="32393D"/>
          <w:sz w:val="28"/>
          <w:szCs w:val="28"/>
        </w:rPr>
        <w:t xml:space="preserve"> de toda persona a ser titular de derechos y obligaciones ante la ley, condición necesaria para el ejercicio de todos los demás derechos humanos y libertades fundamentales.</w:t>
      </w:r>
    </w:p>
    <w:p w14:paraId="5E788B0E" w14:textId="77777777" w:rsidR="00C42124" w:rsidRPr="007C3E61" w:rsidRDefault="00C42124" w:rsidP="00C42124">
      <w:pPr>
        <w:pStyle w:val="NormalWeb"/>
        <w:numPr>
          <w:ilvl w:val="0"/>
          <w:numId w:val="1"/>
        </w:numPr>
        <w:shd w:val="clear" w:color="auto" w:fill="FFFFFF"/>
        <w:spacing w:before="0" w:beforeAutospacing="0" w:after="240" w:afterAutospacing="0" w:line="336" w:lineRule="atLeast"/>
        <w:jc w:val="both"/>
        <w:rPr>
          <w:rFonts w:asciiTheme="majorHAnsi" w:hAnsiTheme="majorHAnsi" w:cs="Arial"/>
          <w:color w:val="32393D"/>
          <w:sz w:val="28"/>
          <w:szCs w:val="28"/>
        </w:rPr>
      </w:pPr>
      <w:r w:rsidRPr="007C3E61">
        <w:rPr>
          <w:rFonts w:asciiTheme="majorHAnsi" w:hAnsiTheme="majorHAnsi" w:cs="Arial"/>
          <w:color w:val="32393D"/>
          <w:sz w:val="28"/>
          <w:szCs w:val="28"/>
        </w:rPr>
        <w:t>Porque si hay una esfera donde los efectos de la Convención se dejan</w:t>
      </w:r>
      <w:r w:rsidR="007C3E61">
        <w:rPr>
          <w:rFonts w:asciiTheme="majorHAnsi" w:hAnsiTheme="majorHAnsi" w:cs="Arial"/>
          <w:color w:val="32393D"/>
          <w:sz w:val="28"/>
          <w:szCs w:val="28"/>
        </w:rPr>
        <w:t xml:space="preserve"> sentir con mayor contundencia, e</w:t>
      </w:r>
      <w:r w:rsidRPr="007C3E61">
        <w:rPr>
          <w:rFonts w:asciiTheme="majorHAnsi" w:hAnsiTheme="majorHAnsi" w:cs="Arial"/>
          <w:color w:val="32393D"/>
          <w:sz w:val="28"/>
          <w:szCs w:val="28"/>
        </w:rPr>
        <w:t xml:space="preserve">sa es la de la plena igualdad jurídica de las personas con discapacidad ya que es uno, por no decir el principal obstáculo, de las personas con </w:t>
      </w:r>
      <w:r w:rsidR="007C3E61">
        <w:rPr>
          <w:rFonts w:asciiTheme="majorHAnsi" w:hAnsiTheme="majorHAnsi" w:cs="Arial"/>
          <w:color w:val="32393D"/>
          <w:sz w:val="28"/>
          <w:szCs w:val="28"/>
        </w:rPr>
        <w:t>discapacidad en el acceso a la J</w:t>
      </w:r>
      <w:r w:rsidRPr="007C3E61">
        <w:rPr>
          <w:rFonts w:asciiTheme="majorHAnsi" w:hAnsiTheme="majorHAnsi" w:cs="Arial"/>
          <w:color w:val="32393D"/>
          <w:sz w:val="28"/>
          <w:szCs w:val="28"/>
        </w:rPr>
        <w:t xml:space="preserve">usticia. La discapacidad no puede ser excusa o coartada para limitar o reducir la capacidad de las personas de realizar actos válidos en el tráfico jurídico. </w:t>
      </w:r>
    </w:p>
    <w:p w14:paraId="517B86D4" w14:textId="77777777" w:rsidR="00C42124" w:rsidRPr="007C3E61" w:rsidRDefault="00C42124" w:rsidP="00C42124">
      <w:pPr>
        <w:pStyle w:val="NormalWeb"/>
        <w:numPr>
          <w:ilvl w:val="0"/>
          <w:numId w:val="1"/>
        </w:numPr>
        <w:shd w:val="clear" w:color="auto" w:fill="FFFFFF"/>
        <w:spacing w:before="0" w:beforeAutospacing="0" w:after="240" w:afterAutospacing="0" w:line="336" w:lineRule="atLeast"/>
        <w:jc w:val="both"/>
        <w:rPr>
          <w:rFonts w:asciiTheme="majorHAnsi" w:hAnsiTheme="majorHAnsi" w:cs="Arial"/>
          <w:color w:val="32393D"/>
          <w:sz w:val="28"/>
          <w:szCs w:val="28"/>
        </w:rPr>
      </w:pPr>
      <w:r w:rsidRPr="007C3E61">
        <w:rPr>
          <w:rFonts w:asciiTheme="majorHAnsi" w:hAnsiTheme="majorHAnsi" w:cs="Arial"/>
          <w:color w:val="32393D"/>
          <w:sz w:val="28"/>
          <w:szCs w:val="28"/>
        </w:rPr>
        <w:t>El reconocimiento de la personalidad jurídica y la capacidad jurídica son conceptos que están estrechamente interrelacionados. El igual reconocimiento como persona ante la ley garantiza el derecho de todo ser humano a que se reconozca su existencia en el ordenamiento jurídico, es decir, a que se reconozca su personalidad jurídica y a quedar comprendido en el ámbito de la ley y a ser protegido por esta. La capacidad jurídica implica ser titular de derechos y obligaciones, decir capacidad legal, y ejercer esos derechos y obligaciones o legitimación para actuar. La interpretación del derecho al igual reconocimiento como persona ante la ley ha evolucionado, de forma que ahora se entiende que la capacidad jurídica es un atributo universal inherente a todas las personas en razón de su condición humana. En consecuencia, negar a una persona su legitimación para actuar también afectará a su condición como persona ante la ley.</w:t>
      </w:r>
    </w:p>
    <w:p w14:paraId="0AF05EB1" w14:textId="77777777" w:rsidR="00C42124" w:rsidRPr="007C3E61" w:rsidRDefault="007C3E61" w:rsidP="00C42124">
      <w:pPr>
        <w:pStyle w:val="NormalWeb"/>
        <w:numPr>
          <w:ilvl w:val="0"/>
          <w:numId w:val="1"/>
        </w:numPr>
        <w:shd w:val="clear" w:color="auto" w:fill="FFFFFF"/>
        <w:spacing w:before="0" w:beforeAutospacing="0" w:after="240" w:afterAutospacing="0" w:line="336" w:lineRule="atLeast"/>
        <w:jc w:val="both"/>
        <w:rPr>
          <w:rFonts w:asciiTheme="majorHAnsi" w:hAnsiTheme="majorHAnsi" w:cs="Arial"/>
          <w:color w:val="32393D"/>
          <w:sz w:val="28"/>
          <w:szCs w:val="28"/>
        </w:rPr>
      </w:pPr>
      <w:r>
        <w:rPr>
          <w:rFonts w:asciiTheme="majorHAnsi" w:hAnsiTheme="majorHAnsi" w:cs="Arial"/>
          <w:color w:val="32393D"/>
          <w:sz w:val="28"/>
          <w:szCs w:val="28"/>
        </w:rPr>
        <w:t>El acceso a la J</w:t>
      </w:r>
      <w:r w:rsidR="00C42124" w:rsidRPr="007C3E61">
        <w:rPr>
          <w:rFonts w:asciiTheme="majorHAnsi" w:hAnsiTheme="majorHAnsi" w:cs="Arial"/>
          <w:color w:val="32393D"/>
          <w:sz w:val="28"/>
          <w:szCs w:val="28"/>
        </w:rPr>
        <w:t>usticia es un principio básico del Estado de Derecho</w:t>
      </w:r>
      <w:r>
        <w:rPr>
          <w:rFonts w:asciiTheme="majorHAnsi" w:hAnsiTheme="majorHAnsi" w:cs="Arial"/>
          <w:color w:val="32393D"/>
          <w:sz w:val="28"/>
          <w:szCs w:val="28"/>
        </w:rPr>
        <w:t xml:space="preserve"> y de los sistemas democráticos, </w:t>
      </w:r>
      <w:r w:rsidR="00C42124" w:rsidRPr="007C3E61">
        <w:rPr>
          <w:rFonts w:asciiTheme="majorHAnsi" w:hAnsiTheme="majorHAnsi" w:cs="Arial"/>
          <w:color w:val="32393D"/>
          <w:sz w:val="28"/>
          <w:szCs w:val="28"/>
        </w:rPr>
        <w:t>que</w:t>
      </w:r>
      <w:r>
        <w:rPr>
          <w:rFonts w:asciiTheme="majorHAnsi" w:hAnsiTheme="majorHAnsi" w:cs="Arial"/>
          <w:color w:val="32393D"/>
          <w:sz w:val="28"/>
          <w:szCs w:val="28"/>
        </w:rPr>
        <w:t xml:space="preserve">  se ha de reivindicar cada día, </w:t>
      </w:r>
      <w:r w:rsidR="00C42124" w:rsidRPr="007C3E61">
        <w:rPr>
          <w:rFonts w:asciiTheme="majorHAnsi" w:hAnsiTheme="majorHAnsi" w:cs="Arial"/>
          <w:color w:val="32393D"/>
          <w:sz w:val="28"/>
          <w:szCs w:val="28"/>
        </w:rPr>
        <w:t xml:space="preserve">máxime cuando </w:t>
      </w:r>
      <w:r>
        <w:rPr>
          <w:rFonts w:asciiTheme="majorHAnsi" w:hAnsiTheme="majorHAnsi" w:cs="Arial"/>
          <w:color w:val="32393D"/>
          <w:sz w:val="28"/>
          <w:szCs w:val="28"/>
        </w:rPr>
        <w:t xml:space="preserve">los cambios son vertiginosos </w:t>
      </w:r>
      <w:r w:rsidR="00C42124" w:rsidRPr="007C3E61">
        <w:rPr>
          <w:rFonts w:asciiTheme="majorHAnsi" w:hAnsiTheme="majorHAnsi" w:cs="Arial"/>
          <w:color w:val="32393D"/>
          <w:sz w:val="28"/>
          <w:szCs w:val="28"/>
        </w:rPr>
        <w:t xml:space="preserve">y </w:t>
      </w:r>
      <w:r>
        <w:rPr>
          <w:rFonts w:asciiTheme="majorHAnsi" w:hAnsiTheme="majorHAnsi" w:cs="Arial"/>
          <w:color w:val="32393D"/>
          <w:sz w:val="28"/>
          <w:szCs w:val="28"/>
        </w:rPr>
        <w:t xml:space="preserve">las actitudes </w:t>
      </w:r>
      <w:r w:rsidR="00C42124" w:rsidRPr="007C3E61">
        <w:rPr>
          <w:rFonts w:asciiTheme="majorHAnsi" w:hAnsiTheme="majorHAnsi" w:cs="Arial"/>
          <w:color w:val="32393D"/>
          <w:sz w:val="28"/>
          <w:szCs w:val="28"/>
        </w:rPr>
        <w:t>muchas veces reticente</w:t>
      </w:r>
      <w:r>
        <w:rPr>
          <w:rFonts w:asciiTheme="majorHAnsi" w:hAnsiTheme="majorHAnsi" w:cs="Arial"/>
          <w:color w:val="32393D"/>
          <w:sz w:val="28"/>
          <w:szCs w:val="28"/>
        </w:rPr>
        <w:t>s</w:t>
      </w:r>
      <w:r w:rsidR="00C42124" w:rsidRPr="007C3E61">
        <w:rPr>
          <w:rFonts w:asciiTheme="majorHAnsi" w:hAnsiTheme="majorHAnsi" w:cs="Arial"/>
          <w:color w:val="32393D"/>
          <w:sz w:val="28"/>
          <w:szCs w:val="28"/>
        </w:rPr>
        <w:t xml:space="preserve"> al progreso desde la justicia </w:t>
      </w:r>
      <w:r>
        <w:rPr>
          <w:rFonts w:asciiTheme="majorHAnsi" w:hAnsiTheme="majorHAnsi" w:cs="Arial"/>
          <w:color w:val="32393D"/>
          <w:sz w:val="28"/>
          <w:szCs w:val="28"/>
        </w:rPr>
        <w:t>social. Pero en el acceso a la J</w:t>
      </w:r>
      <w:r w:rsidR="00C42124" w:rsidRPr="007C3E61">
        <w:rPr>
          <w:rFonts w:asciiTheme="majorHAnsi" w:hAnsiTheme="majorHAnsi" w:cs="Arial"/>
          <w:color w:val="32393D"/>
          <w:sz w:val="28"/>
          <w:szCs w:val="28"/>
        </w:rPr>
        <w:t>usticia</w:t>
      </w:r>
      <w:r>
        <w:rPr>
          <w:rFonts w:asciiTheme="majorHAnsi" w:hAnsiTheme="majorHAnsi" w:cs="Arial"/>
          <w:color w:val="32393D"/>
          <w:sz w:val="28"/>
          <w:szCs w:val="28"/>
        </w:rPr>
        <w:t>,</w:t>
      </w:r>
      <w:r w:rsidR="00C42124" w:rsidRPr="007C3E61">
        <w:rPr>
          <w:rFonts w:asciiTheme="majorHAnsi" w:hAnsiTheme="majorHAnsi" w:cs="Arial"/>
          <w:color w:val="32393D"/>
          <w:sz w:val="28"/>
          <w:szCs w:val="28"/>
        </w:rPr>
        <w:t xml:space="preserve"> </w:t>
      </w:r>
      <w:r>
        <w:rPr>
          <w:rFonts w:asciiTheme="majorHAnsi" w:hAnsiTheme="majorHAnsi" w:cs="Arial"/>
          <w:color w:val="32393D"/>
          <w:sz w:val="28"/>
          <w:szCs w:val="28"/>
        </w:rPr>
        <w:t xml:space="preserve">la ciudadanía dispone de </w:t>
      </w:r>
      <w:r w:rsidR="00C42124" w:rsidRPr="007C3E61">
        <w:rPr>
          <w:rFonts w:asciiTheme="majorHAnsi" w:hAnsiTheme="majorHAnsi" w:cs="Arial"/>
          <w:color w:val="32393D"/>
          <w:sz w:val="28"/>
          <w:szCs w:val="28"/>
        </w:rPr>
        <w:t>un instrumento esencial para hacer valer los demás derechos humanos, para restablecerlos cuando hayan sido suspendidos o violados,</w:t>
      </w:r>
      <w:r>
        <w:rPr>
          <w:rFonts w:asciiTheme="majorHAnsi" w:hAnsiTheme="majorHAnsi" w:cs="Arial"/>
          <w:color w:val="32393D"/>
          <w:sz w:val="28"/>
          <w:szCs w:val="28"/>
        </w:rPr>
        <w:t xml:space="preserve"> para resarcir a las víctimas; </w:t>
      </w:r>
      <w:r w:rsidR="00C42124" w:rsidRPr="007C3E61">
        <w:rPr>
          <w:rFonts w:asciiTheme="majorHAnsi" w:hAnsiTheme="majorHAnsi" w:cs="Arial"/>
          <w:color w:val="32393D"/>
          <w:sz w:val="28"/>
          <w:szCs w:val="28"/>
        </w:rPr>
        <w:t>para hacer frente a la discriminac</w:t>
      </w:r>
      <w:r>
        <w:rPr>
          <w:rFonts w:asciiTheme="majorHAnsi" w:hAnsiTheme="majorHAnsi" w:cs="Arial"/>
          <w:color w:val="32393D"/>
          <w:sz w:val="28"/>
          <w:szCs w:val="28"/>
        </w:rPr>
        <w:t>ión,  y sí para reconocer a la p</w:t>
      </w:r>
      <w:r w:rsidR="00C42124" w:rsidRPr="007C3E61">
        <w:rPr>
          <w:rFonts w:asciiTheme="majorHAnsi" w:hAnsiTheme="majorHAnsi" w:cs="Arial"/>
          <w:color w:val="32393D"/>
          <w:sz w:val="28"/>
          <w:szCs w:val="28"/>
        </w:rPr>
        <w:t xml:space="preserve">ersona al margen de cualquier condición o situación, sin que el diagnóstico colonice toda nuestra existencia.  </w:t>
      </w:r>
    </w:p>
    <w:p w14:paraId="426D6073" w14:textId="77777777" w:rsidR="00CA3673" w:rsidRPr="007C3E61" w:rsidRDefault="00C42124" w:rsidP="00CA3673">
      <w:pPr>
        <w:pStyle w:val="NormalWeb"/>
        <w:numPr>
          <w:ilvl w:val="0"/>
          <w:numId w:val="1"/>
        </w:numPr>
        <w:shd w:val="clear" w:color="auto" w:fill="FFFFFF"/>
        <w:spacing w:after="240" w:line="336" w:lineRule="atLeast"/>
        <w:jc w:val="both"/>
        <w:rPr>
          <w:rFonts w:asciiTheme="majorHAnsi" w:hAnsiTheme="majorHAnsi" w:cs="Arial"/>
          <w:color w:val="32393D"/>
          <w:sz w:val="28"/>
          <w:szCs w:val="28"/>
        </w:rPr>
      </w:pPr>
      <w:r w:rsidRPr="007C3E61">
        <w:rPr>
          <w:rFonts w:asciiTheme="majorHAnsi" w:hAnsiTheme="majorHAnsi" w:cs="Arial"/>
          <w:color w:val="32393D"/>
          <w:sz w:val="28"/>
          <w:szCs w:val="28"/>
        </w:rPr>
        <w:lastRenderedPageBreak/>
        <w:t>Asimismo</w:t>
      </w:r>
      <w:r w:rsidR="007C3E61">
        <w:rPr>
          <w:rFonts w:asciiTheme="majorHAnsi" w:hAnsiTheme="majorHAnsi" w:cs="Arial"/>
          <w:color w:val="32393D"/>
          <w:sz w:val="28"/>
          <w:szCs w:val="28"/>
        </w:rPr>
        <w:t>,</w:t>
      </w:r>
      <w:r w:rsidRPr="007C3E61">
        <w:rPr>
          <w:rFonts w:asciiTheme="majorHAnsi" w:hAnsiTheme="majorHAnsi" w:cs="Arial"/>
          <w:color w:val="32393D"/>
          <w:sz w:val="28"/>
          <w:szCs w:val="28"/>
        </w:rPr>
        <w:t xml:space="preserve"> el Foro debe tener en cuenta el artículo 13 de la </w:t>
      </w:r>
      <w:r w:rsidR="00CA3673" w:rsidRPr="007C3E61">
        <w:rPr>
          <w:rFonts w:asciiTheme="majorHAnsi" w:hAnsiTheme="majorHAnsi" w:cs="Arial"/>
          <w:color w:val="32393D"/>
          <w:sz w:val="28"/>
          <w:szCs w:val="28"/>
        </w:rPr>
        <w:t>Convención</w:t>
      </w:r>
      <w:r w:rsidRPr="007C3E61">
        <w:rPr>
          <w:rFonts w:asciiTheme="majorHAnsi" w:hAnsiTheme="majorHAnsi" w:cs="Arial"/>
          <w:color w:val="32393D"/>
          <w:sz w:val="28"/>
          <w:szCs w:val="28"/>
        </w:rPr>
        <w:t xml:space="preserve"> </w:t>
      </w:r>
      <w:r w:rsidR="007C3E61">
        <w:rPr>
          <w:rFonts w:asciiTheme="majorHAnsi" w:hAnsiTheme="majorHAnsi" w:cs="Arial"/>
          <w:color w:val="32393D"/>
          <w:sz w:val="28"/>
          <w:szCs w:val="28"/>
        </w:rPr>
        <w:t>Internacional sobre los Derechos de las Personas con Discapacidad, consagrado al acceso a la J</w:t>
      </w:r>
      <w:r w:rsidRPr="007C3E61">
        <w:rPr>
          <w:rFonts w:asciiTheme="majorHAnsi" w:hAnsiTheme="majorHAnsi" w:cs="Arial"/>
          <w:color w:val="32393D"/>
          <w:sz w:val="28"/>
          <w:szCs w:val="28"/>
        </w:rPr>
        <w:t>usticia</w:t>
      </w:r>
      <w:r w:rsidR="007C3E61">
        <w:rPr>
          <w:rFonts w:asciiTheme="majorHAnsi" w:hAnsiTheme="majorHAnsi" w:cs="Arial"/>
          <w:color w:val="32393D"/>
          <w:sz w:val="28"/>
          <w:szCs w:val="28"/>
        </w:rPr>
        <w:t xml:space="preserve">. Este acceso solo se puede asegurar suprimiendo </w:t>
      </w:r>
      <w:r w:rsidRPr="007C3E61">
        <w:rPr>
          <w:rFonts w:asciiTheme="majorHAnsi" w:hAnsiTheme="majorHAnsi" w:cs="Arial"/>
          <w:color w:val="32393D"/>
          <w:sz w:val="28"/>
          <w:szCs w:val="28"/>
        </w:rPr>
        <w:t xml:space="preserve">las barreras que </w:t>
      </w:r>
      <w:r w:rsidR="007C3E61">
        <w:rPr>
          <w:rFonts w:asciiTheme="majorHAnsi" w:hAnsiTheme="majorHAnsi" w:cs="Arial"/>
          <w:color w:val="32393D"/>
          <w:sz w:val="28"/>
          <w:szCs w:val="28"/>
        </w:rPr>
        <w:t xml:space="preserve">padecen </w:t>
      </w:r>
      <w:r w:rsidRPr="007C3E61">
        <w:rPr>
          <w:rFonts w:asciiTheme="majorHAnsi" w:hAnsiTheme="majorHAnsi" w:cs="Arial"/>
          <w:color w:val="32393D"/>
          <w:sz w:val="28"/>
          <w:szCs w:val="28"/>
        </w:rPr>
        <w:t>las</w:t>
      </w:r>
      <w:r w:rsidR="007C3E61">
        <w:rPr>
          <w:rFonts w:asciiTheme="majorHAnsi" w:hAnsiTheme="majorHAnsi" w:cs="Arial"/>
          <w:color w:val="32393D"/>
          <w:sz w:val="28"/>
          <w:szCs w:val="28"/>
        </w:rPr>
        <w:t xml:space="preserve"> personas con discapacidad en sus relaciones con la Administración de justicia, garantizando</w:t>
      </w:r>
      <w:r w:rsidRPr="007C3E61">
        <w:rPr>
          <w:rFonts w:asciiTheme="majorHAnsi" w:hAnsiTheme="majorHAnsi" w:cs="Arial"/>
          <w:color w:val="32393D"/>
          <w:sz w:val="28"/>
          <w:szCs w:val="28"/>
        </w:rPr>
        <w:t xml:space="preserve"> la realización de ajustes de procedimiento adecuados </w:t>
      </w:r>
      <w:r w:rsidR="007C3E61">
        <w:rPr>
          <w:rFonts w:asciiTheme="majorHAnsi" w:hAnsiTheme="majorHAnsi" w:cs="Arial"/>
          <w:color w:val="32393D"/>
          <w:sz w:val="28"/>
          <w:szCs w:val="28"/>
        </w:rPr>
        <w:t>al género y la edad y estableciendo</w:t>
      </w:r>
      <w:r w:rsidRPr="007C3E61">
        <w:rPr>
          <w:rFonts w:asciiTheme="majorHAnsi" w:hAnsiTheme="majorHAnsi" w:cs="Arial"/>
          <w:color w:val="32393D"/>
          <w:sz w:val="28"/>
          <w:szCs w:val="28"/>
        </w:rPr>
        <w:t xml:space="preserve"> las salvaguardias pertinentes para posibilitar la participación de las personas con discapacidad en todos los procedimientos judiciales, en igualdad de condiciones con las demás, facilitando el uso del método de comunicación de su elección en las interacciones judiciales, lo </w:t>
      </w:r>
      <w:r w:rsidR="007C3E61">
        <w:rPr>
          <w:rFonts w:asciiTheme="majorHAnsi" w:hAnsiTheme="majorHAnsi" w:cs="Arial"/>
          <w:color w:val="32393D"/>
          <w:sz w:val="28"/>
          <w:szCs w:val="28"/>
        </w:rPr>
        <w:t>que comprende la lengua de signos</w:t>
      </w:r>
      <w:r w:rsidRPr="007C3E61">
        <w:rPr>
          <w:rFonts w:asciiTheme="majorHAnsi" w:hAnsiTheme="majorHAnsi" w:cs="Arial"/>
          <w:color w:val="32393D"/>
          <w:sz w:val="28"/>
          <w:szCs w:val="28"/>
        </w:rPr>
        <w:t>, el braille, la lectura fácil, los subtítulos, los dispositivos aumentativos y alternativos de comunicación y todos los demás medios, modos y form</w:t>
      </w:r>
      <w:r w:rsidR="00CA3673" w:rsidRPr="007C3E61">
        <w:rPr>
          <w:rFonts w:asciiTheme="majorHAnsi" w:hAnsiTheme="majorHAnsi" w:cs="Arial"/>
          <w:color w:val="32393D"/>
          <w:sz w:val="28"/>
          <w:szCs w:val="28"/>
        </w:rPr>
        <w:t>atos de comunicación accesibles.</w:t>
      </w:r>
    </w:p>
    <w:p w14:paraId="791A05CC" w14:textId="77777777" w:rsidR="00CA3673" w:rsidRPr="007C3E61" w:rsidRDefault="00CA3673" w:rsidP="00CA3673">
      <w:pPr>
        <w:pStyle w:val="NormalWeb"/>
        <w:numPr>
          <w:ilvl w:val="0"/>
          <w:numId w:val="1"/>
        </w:numPr>
        <w:shd w:val="clear" w:color="auto" w:fill="FFFFFF"/>
        <w:spacing w:after="240" w:line="336" w:lineRule="atLeast"/>
        <w:jc w:val="both"/>
        <w:rPr>
          <w:rFonts w:asciiTheme="majorHAnsi" w:hAnsiTheme="majorHAnsi" w:cs="Arial"/>
          <w:color w:val="32393D"/>
          <w:sz w:val="28"/>
          <w:szCs w:val="28"/>
        </w:rPr>
      </w:pPr>
      <w:r w:rsidRPr="007C3E61">
        <w:rPr>
          <w:rFonts w:asciiTheme="majorHAnsi" w:hAnsiTheme="majorHAnsi" w:cs="Arial"/>
          <w:color w:val="32393D"/>
          <w:sz w:val="28"/>
          <w:szCs w:val="28"/>
        </w:rPr>
        <w:t>En este punto</w:t>
      </w:r>
      <w:r w:rsidR="007C3E61">
        <w:rPr>
          <w:rFonts w:asciiTheme="majorHAnsi" w:hAnsiTheme="majorHAnsi" w:cs="Arial"/>
          <w:color w:val="32393D"/>
          <w:sz w:val="28"/>
          <w:szCs w:val="28"/>
        </w:rPr>
        <w:t>,</w:t>
      </w:r>
      <w:r w:rsidRPr="007C3E61">
        <w:rPr>
          <w:rFonts w:asciiTheme="majorHAnsi" w:hAnsiTheme="majorHAnsi" w:cs="Arial"/>
          <w:color w:val="32393D"/>
          <w:sz w:val="28"/>
          <w:szCs w:val="28"/>
        </w:rPr>
        <w:t xml:space="preserve"> se propone </w:t>
      </w:r>
      <w:r w:rsidR="007C3E61">
        <w:rPr>
          <w:rFonts w:asciiTheme="majorHAnsi" w:hAnsiTheme="majorHAnsi" w:cs="Arial"/>
          <w:color w:val="32393D"/>
          <w:sz w:val="28"/>
          <w:szCs w:val="28"/>
        </w:rPr>
        <w:t>que se aborden</w:t>
      </w:r>
      <w:r w:rsidRPr="007C3E61">
        <w:rPr>
          <w:rFonts w:asciiTheme="majorHAnsi" w:hAnsiTheme="majorHAnsi" w:cs="Arial"/>
          <w:color w:val="32393D"/>
          <w:sz w:val="28"/>
          <w:szCs w:val="28"/>
        </w:rPr>
        <w:t xml:space="preserve"> </w:t>
      </w:r>
      <w:r w:rsidR="00512E37" w:rsidRPr="007C3E61">
        <w:rPr>
          <w:rFonts w:asciiTheme="majorHAnsi" w:hAnsiTheme="majorHAnsi" w:cs="Arial"/>
          <w:color w:val="32393D"/>
          <w:sz w:val="28"/>
          <w:szCs w:val="28"/>
        </w:rPr>
        <w:t>los ajustes de procedimiento en el acceso a la Justicia de las personas con discapacidad, porque no habrá una correcta protección judicial de los derechos de esta parte de la ciudadanía sin que se acometan reformas de alcance en los sistemas, dispositivos</w:t>
      </w:r>
      <w:r w:rsidRPr="007C3E61">
        <w:rPr>
          <w:rFonts w:asciiTheme="majorHAnsi" w:hAnsiTheme="majorHAnsi" w:cs="Arial"/>
          <w:color w:val="32393D"/>
          <w:sz w:val="28"/>
          <w:szCs w:val="28"/>
        </w:rPr>
        <w:t xml:space="preserve"> y cauces jurisdiccionales.</w:t>
      </w:r>
    </w:p>
    <w:p w14:paraId="765D6422" w14:textId="77777777" w:rsidR="00512E37" w:rsidRPr="007C3E61" w:rsidRDefault="00512E37" w:rsidP="00CA3673">
      <w:pPr>
        <w:pStyle w:val="NormalWeb"/>
        <w:numPr>
          <w:ilvl w:val="0"/>
          <w:numId w:val="1"/>
        </w:numPr>
        <w:shd w:val="clear" w:color="auto" w:fill="FFFFFF"/>
        <w:spacing w:after="240" w:line="336" w:lineRule="atLeast"/>
        <w:jc w:val="both"/>
        <w:rPr>
          <w:rFonts w:asciiTheme="majorHAnsi" w:hAnsiTheme="majorHAnsi" w:cs="Arial"/>
          <w:color w:val="32393D"/>
          <w:sz w:val="28"/>
          <w:szCs w:val="28"/>
        </w:rPr>
      </w:pPr>
      <w:r w:rsidRPr="007C3E61">
        <w:rPr>
          <w:rFonts w:asciiTheme="majorHAnsi" w:hAnsiTheme="majorHAnsi" w:cs="Arial"/>
          <w:color w:val="32393D"/>
          <w:sz w:val="28"/>
          <w:szCs w:val="28"/>
        </w:rPr>
        <w:t>Tras el artículo 12 de la Convención Internacional sobre los Derechos de las Personas con Discapacidad, dedicado a la igual capacidad jurídica, lo siguiente es el artículo 13, consagrado al acceso de la Justicia, cuya efectividad requerirá de cambios legislativos en las leyes judiciales y procesales, y dotación de medios y recursos para que la</w:t>
      </w:r>
      <w:r w:rsidR="008173FE" w:rsidRPr="007C3E61">
        <w:rPr>
          <w:rFonts w:asciiTheme="majorHAnsi" w:hAnsiTheme="majorHAnsi" w:cs="Arial"/>
          <w:color w:val="32393D"/>
          <w:sz w:val="28"/>
          <w:szCs w:val="28"/>
        </w:rPr>
        <w:t>s Administraciones</w:t>
      </w:r>
      <w:r w:rsidRPr="007C3E61">
        <w:rPr>
          <w:rFonts w:asciiTheme="majorHAnsi" w:hAnsiTheme="majorHAnsi" w:cs="Arial"/>
          <w:color w:val="32393D"/>
          <w:sz w:val="28"/>
          <w:szCs w:val="28"/>
        </w:rPr>
        <w:t xml:space="preserve"> de Justicia pueda</w:t>
      </w:r>
      <w:r w:rsidR="008173FE" w:rsidRPr="007C3E61">
        <w:rPr>
          <w:rFonts w:asciiTheme="majorHAnsi" w:hAnsiTheme="majorHAnsi" w:cs="Arial"/>
          <w:color w:val="32393D"/>
          <w:sz w:val="28"/>
          <w:szCs w:val="28"/>
        </w:rPr>
        <w:t>n</w:t>
      </w:r>
      <w:r w:rsidRPr="007C3E61">
        <w:rPr>
          <w:rFonts w:asciiTheme="majorHAnsi" w:hAnsiTheme="majorHAnsi" w:cs="Arial"/>
          <w:color w:val="32393D"/>
          <w:sz w:val="28"/>
          <w:szCs w:val="28"/>
        </w:rPr>
        <w:t xml:space="preserve"> hacer frente a esos ajustes, que resultan imperiosos.</w:t>
      </w:r>
    </w:p>
    <w:p w14:paraId="77D76475" w14:textId="77777777" w:rsidR="00CA3673" w:rsidRPr="007C3E61" w:rsidRDefault="00CA3673" w:rsidP="00CA3673">
      <w:pPr>
        <w:pStyle w:val="NormalWeb"/>
        <w:numPr>
          <w:ilvl w:val="0"/>
          <w:numId w:val="1"/>
        </w:numPr>
        <w:shd w:val="clear" w:color="auto" w:fill="FFFFFF"/>
        <w:spacing w:after="240" w:line="336" w:lineRule="atLeast"/>
        <w:jc w:val="both"/>
        <w:rPr>
          <w:rFonts w:asciiTheme="majorHAnsi" w:hAnsiTheme="majorHAnsi" w:cs="Arial"/>
          <w:color w:val="32393D"/>
          <w:sz w:val="28"/>
          <w:szCs w:val="28"/>
        </w:rPr>
      </w:pPr>
      <w:r w:rsidRPr="007C3E61">
        <w:rPr>
          <w:rFonts w:asciiTheme="majorHAnsi" w:hAnsiTheme="majorHAnsi" w:cs="Arial"/>
          <w:color w:val="32393D"/>
          <w:sz w:val="28"/>
          <w:szCs w:val="28"/>
        </w:rPr>
        <w:t>Finalmente, e</w:t>
      </w:r>
      <w:r w:rsidR="007C3E61">
        <w:rPr>
          <w:rFonts w:asciiTheme="majorHAnsi" w:hAnsiTheme="majorHAnsi" w:cs="Arial"/>
          <w:color w:val="32393D"/>
          <w:sz w:val="28"/>
          <w:szCs w:val="28"/>
        </w:rPr>
        <w:t>ste F</w:t>
      </w:r>
      <w:r w:rsidR="005C0D5C" w:rsidRPr="007C3E61">
        <w:rPr>
          <w:rFonts w:asciiTheme="majorHAnsi" w:hAnsiTheme="majorHAnsi" w:cs="Arial"/>
          <w:color w:val="32393D"/>
          <w:sz w:val="28"/>
          <w:szCs w:val="28"/>
        </w:rPr>
        <w:t xml:space="preserve">oro debe hacer instar a que se garanticen </w:t>
      </w:r>
      <w:r w:rsidRPr="007C3E61">
        <w:rPr>
          <w:rFonts w:asciiTheme="majorHAnsi" w:hAnsiTheme="majorHAnsi" w:cs="Arial"/>
          <w:color w:val="32393D"/>
          <w:sz w:val="28"/>
          <w:szCs w:val="28"/>
        </w:rPr>
        <w:t>los derechos civiles y  políticos de las personas con discapacidad, tal y como se recogen el artículo 29 de la Convención.</w:t>
      </w:r>
    </w:p>
    <w:p w14:paraId="1D35E34D" w14:textId="77777777" w:rsidR="007C3E61" w:rsidRPr="007C3E61" w:rsidRDefault="007C3E61" w:rsidP="007C3E61">
      <w:pPr>
        <w:pStyle w:val="NormalWeb"/>
        <w:shd w:val="clear" w:color="auto" w:fill="FFFFFF"/>
        <w:spacing w:after="240" w:line="336" w:lineRule="atLeast"/>
        <w:jc w:val="both"/>
        <w:rPr>
          <w:rFonts w:asciiTheme="majorHAnsi" w:hAnsiTheme="majorHAnsi" w:cs="Arial"/>
          <w:color w:val="32393D"/>
          <w:sz w:val="28"/>
          <w:szCs w:val="28"/>
        </w:rPr>
      </w:pPr>
      <w:r w:rsidRPr="007C3E61">
        <w:rPr>
          <w:rFonts w:asciiTheme="majorHAnsi" w:hAnsiTheme="majorHAnsi" w:cs="Arial"/>
          <w:color w:val="32393D"/>
          <w:sz w:val="28"/>
          <w:szCs w:val="28"/>
        </w:rPr>
        <w:t>27 de abril de 2020.</w:t>
      </w:r>
    </w:p>
    <w:p w14:paraId="375DD21F" w14:textId="77777777" w:rsidR="007C3E61" w:rsidRPr="007C3E61" w:rsidRDefault="007C3E61" w:rsidP="007C3E61">
      <w:pPr>
        <w:pStyle w:val="NormalWeb"/>
        <w:shd w:val="clear" w:color="auto" w:fill="FFFFFF"/>
        <w:spacing w:after="240" w:line="336" w:lineRule="atLeast"/>
        <w:jc w:val="center"/>
        <w:rPr>
          <w:rFonts w:asciiTheme="majorHAnsi" w:hAnsiTheme="majorHAnsi" w:cs="Arial"/>
          <w:b/>
          <w:color w:val="32393D"/>
          <w:sz w:val="28"/>
          <w:szCs w:val="28"/>
        </w:rPr>
      </w:pPr>
      <w:r w:rsidRPr="007C3E61">
        <w:rPr>
          <w:rFonts w:asciiTheme="majorHAnsi" w:hAnsiTheme="majorHAnsi" w:cs="Arial"/>
          <w:b/>
          <w:color w:val="32393D"/>
          <w:sz w:val="28"/>
          <w:szCs w:val="28"/>
        </w:rPr>
        <w:t>CERMI</w:t>
      </w:r>
    </w:p>
    <w:p w14:paraId="2552BE3D" w14:textId="77777777" w:rsidR="007C3E61" w:rsidRPr="007C3E61" w:rsidRDefault="00514477" w:rsidP="007C3E61">
      <w:pPr>
        <w:pStyle w:val="NormalWeb"/>
        <w:shd w:val="clear" w:color="auto" w:fill="FFFFFF"/>
        <w:spacing w:after="240" w:line="336" w:lineRule="atLeast"/>
        <w:jc w:val="center"/>
        <w:rPr>
          <w:rFonts w:asciiTheme="majorHAnsi" w:hAnsiTheme="majorHAnsi" w:cs="Arial"/>
          <w:b/>
          <w:color w:val="32393D"/>
          <w:sz w:val="28"/>
          <w:szCs w:val="28"/>
        </w:rPr>
      </w:pPr>
      <w:hyperlink r:id="rId9" w:history="1">
        <w:r w:rsidR="007C3E61" w:rsidRPr="007C3E61">
          <w:rPr>
            <w:rStyle w:val="Hipervnculo"/>
            <w:rFonts w:asciiTheme="majorHAnsi" w:hAnsiTheme="majorHAnsi" w:cs="Arial"/>
            <w:b/>
            <w:sz w:val="28"/>
            <w:szCs w:val="28"/>
          </w:rPr>
          <w:t>www.cermi.es</w:t>
        </w:r>
      </w:hyperlink>
    </w:p>
    <w:p w14:paraId="7258EEDE" w14:textId="77777777" w:rsidR="00512E37" w:rsidRPr="007C3E61" w:rsidRDefault="00512E37">
      <w:pPr>
        <w:rPr>
          <w:rFonts w:asciiTheme="majorHAnsi" w:hAnsiTheme="majorHAnsi"/>
          <w:sz w:val="28"/>
          <w:szCs w:val="28"/>
        </w:rPr>
      </w:pPr>
    </w:p>
    <w:sectPr w:rsidR="00512E37" w:rsidRPr="007C3E61">
      <w:footerReference w:type="even"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9636CA" w14:textId="77777777" w:rsidR="00514477" w:rsidRDefault="00514477" w:rsidP="007C3E61">
      <w:r>
        <w:separator/>
      </w:r>
    </w:p>
  </w:endnote>
  <w:endnote w:type="continuationSeparator" w:id="0">
    <w:p w14:paraId="3489C0FC" w14:textId="77777777" w:rsidR="00514477" w:rsidRDefault="00514477" w:rsidP="007C3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525F63" w14:textId="77777777" w:rsidR="007C3E61" w:rsidRDefault="007C3E61" w:rsidP="007C3E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22094C" w14:textId="77777777" w:rsidR="007C3E61" w:rsidRDefault="007C3E61" w:rsidP="007C3E6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815F31" w14:textId="77777777" w:rsidR="007C3E61" w:rsidRDefault="007C3E61" w:rsidP="007C3E6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521C9">
      <w:rPr>
        <w:rStyle w:val="Nmerodepgina"/>
        <w:noProof/>
      </w:rPr>
      <w:t>1</w:t>
    </w:r>
    <w:r>
      <w:rPr>
        <w:rStyle w:val="Nmerodepgina"/>
      </w:rPr>
      <w:fldChar w:fldCharType="end"/>
    </w:r>
  </w:p>
  <w:p w14:paraId="4F2D994A" w14:textId="77777777" w:rsidR="007C3E61" w:rsidRDefault="007C3E61" w:rsidP="007C3E6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409EA1" w14:textId="77777777" w:rsidR="00514477" w:rsidRDefault="00514477" w:rsidP="007C3E61">
      <w:r>
        <w:separator/>
      </w:r>
    </w:p>
  </w:footnote>
  <w:footnote w:type="continuationSeparator" w:id="0">
    <w:p w14:paraId="357077E5" w14:textId="77777777" w:rsidR="00514477" w:rsidRDefault="00514477" w:rsidP="007C3E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140171"/>
    <w:multiLevelType w:val="hybridMultilevel"/>
    <w:tmpl w:val="D46855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E37"/>
    <w:rsid w:val="000C1F5C"/>
    <w:rsid w:val="002957AB"/>
    <w:rsid w:val="002E6E26"/>
    <w:rsid w:val="003F4D66"/>
    <w:rsid w:val="00512E37"/>
    <w:rsid w:val="00514477"/>
    <w:rsid w:val="005C0D5C"/>
    <w:rsid w:val="007C3E61"/>
    <w:rsid w:val="008173FE"/>
    <w:rsid w:val="00A92EFA"/>
    <w:rsid w:val="00B521C9"/>
    <w:rsid w:val="00C42124"/>
    <w:rsid w:val="00CA3673"/>
    <w:rsid w:val="00DF0975"/>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7F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12E37"/>
    <w:pPr>
      <w:spacing w:before="100" w:beforeAutospacing="1" w:after="100" w:afterAutospacing="1"/>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A3673"/>
    <w:rPr>
      <w:rFonts w:ascii="Tahoma" w:hAnsi="Tahoma" w:cs="Tahoma"/>
      <w:sz w:val="16"/>
      <w:szCs w:val="16"/>
    </w:rPr>
  </w:style>
  <w:style w:type="character" w:customStyle="1" w:styleId="TextodegloboCar">
    <w:name w:val="Texto de globo Car"/>
    <w:basedOn w:val="Fuentedeprrafopredeter"/>
    <w:link w:val="Textodeglobo"/>
    <w:uiPriority w:val="99"/>
    <w:semiHidden/>
    <w:rsid w:val="00CA3673"/>
    <w:rPr>
      <w:rFonts w:ascii="Tahoma" w:hAnsi="Tahoma" w:cs="Tahoma"/>
      <w:sz w:val="16"/>
      <w:szCs w:val="16"/>
    </w:rPr>
  </w:style>
  <w:style w:type="character" w:styleId="Hipervnculo">
    <w:name w:val="Hyperlink"/>
    <w:basedOn w:val="Fuentedeprrafopredeter"/>
    <w:uiPriority w:val="99"/>
    <w:unhideWhenUsed/>
    <w:rsid w:val="007C3E61"/>
    <w:rPr>
      <w:color w:val="0000FF" w:themeColor="hyperlink"/>
      <w:u w:val="single"/>
    </w:rPr>
  </w:style>
  <w:style w:type="paragraph" w:styleId="Piedepgina">
    <w:name w:val="footer"/>
    <w:basedOn w:val="Normal"/>
    <w:link w:val="PiedepginaCar"/>
    <w:uiPriority w:val="99"/>
    <w:unhideWhenUsed/>
    <w:rsid w:val="007C3E61"/>
    <w:pPr>
      <w:tabs>
        <w:tab w:val="center" w:pos="4252"/>
        <w:tab w:val="right" w:pos="8504"/>
      </w:tabs>
    </w:pPr>
  </w:style>
  <w:style w:type="character" w:customStyle="1" w:styleId="PiedepginaCar">
    <w:name w:val="Pie de página Car"/>
    <w:basedOn w:val="Fuentedeprrafopredeter"/>
    <w:link w:val="Piedepgina"/>
    <w:uiPriority w:val="99"/>
    <w:rsid w:val="007C3E61"/>
  </w:style>
  <w:style w:type="character" w:styleId="Nmerodepgina">
    <w:name w:val="page number"/>
    <w:basedOn w:val="Fuentedeprrafopredeter"/>
    <w:uiPriority w:val="99"/>
    <w:semiHidden/>
    <w:unhideWhenUsed/>
    <w:rsid w:val="007C3E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512E37"/>
    <w:pPr>
      <w:spacing w:before="100" w:beforeAutospacing="1" w:after="100" w:afterAutospacing="1"/>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CA3673"/>
    <w:rPr>
      <w:rFonts w:ascii="Tahoma" w:hAnsi="Tahoma" w:cs="Tahoma"/>
      <w:sz w:val="16"/>
      <w:szCs w:val="16"/>
    </w:rPr>
  </w:style>
  <w:style w:type="character" w:customStyle="1" w:styleId="TextodegloboCar">
    <w:name w:val="Texto de globo Car"/>
    <w:basedOn w:val="Fuentedeprrafopredeter"/>
    <w:link w:val="Textodeglobo"/>
    <w:uiPriority w:val="99"/>
    <w:semiHidden/>
    <w:rsid w:val="00CA3673"/>
    <w:rPr>
      <w:rFonts w:ascii="Tahoma" w:hAnsi="Tahoma" w:cs="Tahoma"/>
      <w:sz w:val="16"/>
      <w:szCs w:val="16"/>
    </w:rPr>
  </w:style>
  <w:style w:type="character" w:styleId="Hipervnculo">
    <w:name w:val="Hyperlink"/>
    <w:basedOn w:val="Fuentedeprrafopredeter"/>
    <w:uiPriority w:val="99"/>
    <w:unhideWhenUsed/>
    <w:rsid w:val="007C3E61"/>
    <w:rPr>
      <w:color w:val="0000FF" w:themeColor="hyperlink"/>
      <w:u w:val="single"/>
    </w:rPr>
  </w:style>
  <w:style w:type="paragraph" w:styleId="Piedepgina">
    <w:name w:val="footer"/>
    <w:basedOn w:val="Normal"/>
    <w:link w:val="PiedepginaCar"/>
    <w:uiPriority w:val="99"/>
    <w:unhideWhenUsed/>
    <w:rsid w:val="007C3E61"/>
    <w:pPr>
      <w:tabs>
        <w:tab w:val="center" w:pos="4252"/>
        <w:tab w:val="right" w:pos="8504"/>
      </w:tabs>
    </w:pPr>
  </w:style>
  <w:style w:type="character" w:customStyle="1" w:styleId="PiedepginaCar">
    <w:name w:val="Pie de página Car"/>
    <w:basedOn w:val="Fuentedeprrafopredeter"/>
    <w:link w:val="Piedepgina"/>
    <w:uiPriority w:val="99"/>
    <w:rsid w:val="007C3E61"/>
  </w:style>
  <w:style w:type="character" w:styleId="Nmerodepgina">
    <w:name w:val="page number"/>
    <w:basedOn w:val="Fuentedeprrafopredeter"/>
    <w:uiPriority w:val="99"/>
    <w:semiHidden/>
    <w:unhideWhenUsed/>
    <w:rsid w:val="007C3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14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ermi.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5145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dc:creator>
  <cp:lastModifiedBy>HP</cp:lastModifiedBy>
  <cp:revision>2</cp:revision>
  <dcterms:created xsi:type="dcterms:W3CDTF">2020-04-27T15:10:00Z</dcterms:created>
  <dcterms:modified xsi:type="dcterms:W3CDTF">2020-04-27T15:10:00Z</dcterms:modified>
</cp:coreProperties>
</file>