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B75C6" w14:textId="77777777" w:rsidR="006374AB" w:rsidRPr="003C388F" w:rsidRDefault="006374AB" w:rsidP="00232CA3">
      <w:pPr>
        <w:pBdr>
          <w:bottom w:val="single" w:sz="12" w:space="1" w:color="auto"/>
        </w:pBdr>
        <w:spacing w:line="240" w:lineRule="auto"/>
        <w:jc w:val="both"/>
        <w:rPr>
          <w:rFonts w:ascii="Arial" w:hAnsi="Arial" w:cs="Arial"/>
          <w:b/>
          <w:sz w:val="28"/>
          <w:szCs w:val="28"/>
        </w:rPr>
      </w:pPr>
      <w:r w:rsidRPr="003C388F">
        <w:rPr>
          <w:rFonts w:ascii="Arial" w:hAnsi="Arial" w:cs="Arial"/>
          <w:b/>
          <w:noProof/>
          <w:sz w:val="28"/>
          <w:szCs w:val="28"/>
          <w:lang w:eastAsia="es-ES"/>
        </w:rPr>
        <w:drawing>
          <wp:anchor distT="0" distB="0" distL="0" distR="0" simplePos="0" relativeHeight="251658752" behindDoc="1" locked="0" layoutInCell="1" allowOverlap="1" wp14:anchorId="783BB714" wp14:editId="25EB730D">
            <wp:simplePos x="0" y="0"/>
            <wp:positionH relativeFrom="page">
              <wp:posOffset>3157271</wp:posOffset>
            </wp:positionH>
            <wp:positionV relativeFrom="page">
              <wp:posOffset>460858</wp:posOffset>
            </wp:positionV>
            <wp:extent cx="1356207" cy="1104595"/>
            <wp:effectExtent l="1905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5725" cy="1104265"/>
                    </a:xfrm>
                    <a:prstGeom prst="rect">
                      <a:avLst/>
                    </a:prstGeom>
                  </pic:spPr>
                </pic:pic>
              </a:graphicData>
            </a:graphic>
          </wp:anchor>
        </w:drawing>
      </w:r>
    </w:p>
    <w:p w14:paraId="7F120FC2" w14:textId="77777777" w:rsidR="006374AB" w:rsidRPr="003C388F" w:rsidRDefault="006374AB" w:rsidP="00232CA3">
      <w:pPr>
        <w:pBdr>
          <w:bottom w:val="single" w:sz="12" w:space="1" w:color="auto"/>
        </w:pBdr>
        <w:spacing w:line="240" w:lineRule="auto"/>
        <w:jc w:val="both"/>
        <w:rPr>
          <w:rFonts w:ascii="Arial" w:hAnsi="Arial" w:cs="Arial"/>
          <w:b/>
          <w:sz w:val="28"/>
          <w:szCs w:val="28"/>
        </w:rPr>
      </w:pPr>
    </w:p>
    <w:p w14:paraId="72F375B7" w14:textId="77777777" w:rsidR="006374AB" w:rsidRPr="003C388F" w:rsidRDefault="006374AB" w:rsidP="00232CA3">
      <w:pPr>
        <w:pBdr>
          <w:bottom w:val="single" w:sz="12" w:space="1" w:color="auto"/>
        </w:pBdr>
        <w:spacing w:line="240" w:lineRule="auto"/>
        <w:jc w:val="both"/>
        <w:rPr>
          <w:rFonts w:ascii="Arial" w:hAnsi="Arial" w:cs="Arial"/>
          <w:b/>
          <w:sz w:val="28"/>
          <w:szCs w:val="28"/>
        </w:rPr>
      </w:pPr>
    </w:p>
    <w:p w14:paraId="00F7F195" w14:textId="77777777" w:rsidR="00232CA3" w:rsidRPr="003C388F" w:rsidRDefault="005E3FD4" w:rsidP="00232CA3">
      <w:pPr>
        <w:pBdr>
          <w:bottom w:val="single" w:sz="12" w:space="1" w:color="auto"/>
        </w:pBdr>
        <w:spacing w:line="240" w:lineRule="auto"/>
        <w:jc w:val="both"/>
        <w:rPr>
          <w:rFonts w:ascii="Arial" w:hAnsi="Arial" w:cs="Arial"/>
          <w:b/>
          <w:sz w:val="28"/>
          <w:szCs w:val="28"/>
        </w:rPr>
      </w:pPr>
      <w:r>
        <w:rPr>
          <w:rFonts w:ascii="Arial" w:hAnsi="Arial" w:cs="Arial"/>
          <w:b/>
          <w:sz w:val="28"/>
          <w:szCs w:val="28"/>
        </w:rPr>
        <w:t>Documento de contribucio</w:t>
      </w:r>
      <w:bookmarkStart w:id="0" w:name="_GoBack"/>
      <w:bookmarkEnd w:id="0"/>
      <w:r w:rsidR="00232CA3" w:rsidRPr="003C388F">
        <w:rPr>
          <w:rFonts w:ascii="Arial" w:hAnsi="Arial" w:cs="Arial"/>
          <w:b/>
          <w:sz w:val="28"/>
          <w:szCs w:val="28"/>
        </w:rPr>
        <w:t>n</w:t>
      </w:r>
      <w:r>
        <w:rPr>
          <w:rFonts w:ascii="Arial" w:hAnsi="Arial" w:cs="Arial"/>
          <w:b/>
          <w:sz w:val="28"/>
          <w:szCs w:val="28"/>
        </w:rPr>
        <w:t>es</w:t>
      </w:r>
      <w:r w:rsidR="00232CA3" w:rsidRPr="003C388F">
        <w:rPr>
          <w:rFonts w:ascii="Arial" w:hAnsi="Arial" w:cs="Arial"/>
          <w:b/>
          <w:sz w:val="28"/>
          <w:szCs w:val="28"/>
        </w:rPr>
        <w:t xml:space="preserve"> del CERMI a la consulta pública de la Comisión Europea sobre la evaluación de la Directiva 96/67/CE, relativa al acceso al mercado de asistencia en tierra en los aeropuertos de la Comunidad</w:t>
      </w:r>
    </w:p>
    <w:p w14:paraId="42FB9D99" w14:textId="77777777" w:rsidR="001B5738" w:rsidRPr="003C388F" w:rsidRDefault="00232CA3" w:rsidP="003C388F">
      <w:pPr>
        <w:spacing w:line="240" w:lineRule="auto"/>
        <w:jc w:val="both"/>
        <w:rPr>
          <w:rFonts w:ascii="Arial" w:hAnsi="Arial" w:cs="Arial"/>
          <w:sz w:val="28"/>
          <w:szCs w:val="28"/>
        </w:rPr>
      </w:pPr>
      <w:r w:rsidRPr="003C388F">
        <w:rPr>
          <w:rFonts w:ascii="Arial" w:hAnsi="Arial" w:cs="Arial"/>
          <w:sz w:val="28"/>
          <w:szCs w:val="28"/>
        </w:rPr>
        <w:t xml:space="preserve">El presente documento recoge las principales demandas del movimiento de la sociedad civil de la discapacidad representado por el </w:t>
      </w:r>
      <w:r w:rsidR="001B5738" w:rsidRPr="003C388F">
        <w:rPr>
          <w:rFonts w:ascii="Arial" w:eastAsia="Times New Roman" w:hAnsi="Arial" w:cs="Arial"/>
          <w:color w:val="000000"/>
          <w:sz w:val="28"/>
          <w:szCs w:val="28"/>
          <w:lang w:eastAsia="es-ES"/>
        </w:rPr>
        <w:t xml:space="preserve">Comité Español de Representantes de Personas con Discapacidad (CERMI) </w:t>
      </w:r>
      <w:r w:rsidRPr="003C388F">
        <w:rPr>
          <w:rFonts w:ascii="Arial" w:hAnsi="Arial" w:cs="Arial"/>
          <w:sz w:val="28"/>
          <w:szCs w:val="28"/>
        </w:rPr>
        <w:t xml:space="preserve">I en relación con el servicio de asistencia en tierra en los aeropuertos. Las peticiones del sector de la discapacidad se basan en la necesidad de aplicar medidas presididas por el enfoque de derechos humanos que recoge la Convención sobre los Derechos de las Personas con Discapacidad, que tengan carácter inclusivo y por tanto impidan que ninguna persona deje de disfrutar de este servicio por su discapacidad. </w:t>
      </w:r>
    </w:p>
    <w:p w14:paraId="49D9C076" w14:textId="77777777" w:rsidR="001B5738" w:rsidRPr="003C388F" w:rsidRDefault="001B5738" w:rsidP="001B5738">
      <w:pPr>
        <w:spacing w:after="0" w:line="240" w:lineRule="auto"/>
        <w:jc w:val="both"/>
        <w:rPr>
          <w:rFonts w:ascii="Arial" w:eastAsia="Times New Roman" w:hAnsi="Arial" w:cs="Arial"/>
          <w:color w:val="000000"/>
          <w:sz w:val="28"/>
          <w:szCs w:val="28"/>
          <w:lang w:eastAsia="es-ES"/>
        </w:rPr>
      </w:pPr>
      <w:r w:rsidRPr="003C388F">
        <w:rPr>
          <w:rFonts w:ascii="Arial" w:eastAsia="Times New Roman" w:hAnsi="Arial" w:cs="Arial"/>
          <w:color w:val="000000"/>
          <w:sz w:val="28"/>
          <w:szCs w:val="28"/>
          <w:lang w:eastAsia="es-ES"/>
        </w:rPr>
        <w:t>El CERMI plantea a la Unión Europea (UE) que la asistencia en tierra en aeropuertos no castigue por razones asociadas a la discapacidad de los pasajeros, haciendo más gravoso el transporte aéreo para esta población.</w:t>
      </w:r>
    </w:p>
    <w:p w14:paraId="41B957EB" w14:textId="77777777" w:rsidR="001B5738" w:rsidRPr="003C388F" w:rsidRDefault="001B5738" w:rsidP="001B5738">
      <w:pPr>
        <w:spacing w:after="0" w:line="240" w:lineRule="auto"/>
        <w:jc w:val="both"/>
        <w:rPr>
          <w:rFonts w:ascii="Arial" w:eastAsia="Times New Roman" w:hAnsi="Arial" w:cs="Arial"/>
          <w:color w:val="000000"/>
          <w:sz w:val="28"/>
          <w:szCs w:val="28"/>
          <w:lang w:eastAsia="es-ES"/>
        </w:rPr>
      </w:pPr>
    </w:p>
    <w:p w14:paraId="7E6E9F2B" w14:textId="77777777" w:rsidR="001B5738" w:rsidRPr="003C388F" w:rsidRDefault="001B5738" w:rsidP="001B5738">
      <w:pPr>
        <w:spacing w:after="0" w:line="240" w:lineRule="auto"/>
        <w:jc w:val="both"/>
        <w:rPr>
          <w:rFonts w:ascii="Arial" w:eastAsia="Times New Roman" w:hAnsi="Arial" w:cs="Arial"/>
          <w:color w:val="000000"/>
          <w:sz w:val="28"/>
          <w:szCs w:val="28"/>
          <w:lang w:eastAsia="es-ES"/>
        </w:rPr>
      </w:pPr>
      <w:r w:rsidRPr="003C388F">
        <w:rPr>
          <w:rFonts w:ascii="Arial" w:eastAsia="Times New Roman" w:hAnsi="Arial" w:cs="Arial"/>
          <w:color w:val="000000"/>
          <w:sz w:val="28"/>
          <w:szCs w:val="28"/>
          <w:lang w:eastAsia="es-ES"/>
        </w:rPr>
        <w:t>En especial, el CERMI insiste a la Comisión Europea que derogue el preaviso de 48 horas que establece la legislación comunitaria para solicitar la asistencia para el embarque de pasajeros con discapacidad que presenten movilidad reducida, ya que supone un trato más desfavorable que el que reciben el resto de usuarios del transporte aéreo.</w:t>
      </w:r>
    </w:p>
    <w:p w14:paraId="74DD3BCA" w14:textId="77777777" w:rsidR="001B5738" w:rsidRPr="003C388F" w:rsidRDefault="001B5738" w:rsidP="001B5738">
      <w:pPr>
        <w:spacing w:after="0" w:line="240" w:lineRule="auto"/>
        <w:jc w:val="both"/>
        <w:rPr>
          <w:rFonts w:ascii="Arial" w:eastAsia="Times New Roman" w:hAnsi="Arial" w:cs="Arial"/>
          <w:color w:val="000000"/>
          <w:sz w:val="28"/>
          <w:szCs w:val="28"/>
          <w:lang w:eastAsia="es-ES"/>
        </w:rPr>
      </w:pPr>
    </w:p>
    <w:p w14:paraId="664BA84B" w14:textId="77777777" w:rsidR="001B5738" w:rsidRPr="003C388F" w:rsidRDefault="001B5738" w:rsidP="001B5738">
      <w:pPr>
        <w:spacing w:after="0" w:line="240" w:lineRule="auto"/>
        <w:jc w:val="both"/>
        <w:rPr>
          <w:rFonts w:ascii="Arial" w:eastAsia="Times New Roman" w:hAnsi="Arial" w:cs="Arial"/>
          <w:color w:val="000000"/>
          <w:sz w:val="28"/>
          <w:szCs w:val="28"/>
          <w:lang w:eastAsia="es-ES"/>
        </w:rPr>
      </w:pPr>
      <w:r w:rsidRPr="003C388F">
        <w:rPr>
          <w:rFonts w:ascii="Arial" w:eastAsia="Times New Roman" w:hAnsi="Arial" w:cs="Arial"/>
          <w:color w:val="000000"/>
          <w:sz w:val="28"/>
          <w:szCs w:val="28"/>
          <w:lang w:eastAsia="es-ES"/>
        </w:rPr>
        <w:t>Otro de los aspectos señalados por el CERMI en sus aportaciones a la UE es la exigencia a las compañías aéreas de que no perjudiquen a los pasajeros con discapacidad requiriendo en el momento de la facturación trámites especiales o impidan hacerla por medios electrónicos si esta modalidad está establecida para los clientes en general.</w:t>
      </w:r>
    </w:p>
    <w:p w14:paraId="7F844572" w14:textId="77777777" w:rsidR="001B5738" w:rsidRPr="003C388F" w:rsidRDefault="001B5738" w:rsidP="001B5738">
      <w:pPr>
        <w:spacing w:after="0" w:line="240" w:lineRule="auto"/>
        <w:rPr>
          <w:rFonts w:ascii="Arial" w:eastAsia="Times New Roman" w:hAnsi="Arial" w:cs="Arial"/>
          <w:color w:val="000000"/>
          <w:sz w:val="28"/>
          <w:szCs w:val="28"/>
          <w:lang w:eastAsia="es-ES"/>
        </w:rPr>
      </w:pPr>
    </w:p>
    <w:p w14:paraId="10691E74" w14:textId="77777777" w:rsidR="001B5738" w:rsidRPr="003C388F" w:rsidRDefault="001B5738" w:rsidP="001B5738">
      <w:pPr>
        <w:spacing w:after="0" w:line="240" w:lineRule="auto"/>
        <w:jc w:val="both"/>
        <w:rPr>
          <w:rFonts w:ascii="Arial" w:eastAsia="Times New Roman" w:hAnsi="Arial" w:cs="Arial"/>
          <w:color w:val="000000"/>
          <w:sz w:val="28"/>
          <w:szCs w:val="28"/>
          <w:lang w:eastAsia="es-ES"/>
        </w:rPr>
      </w:pPr>
      <w:r w:rsidRPr="003C388F">
        <w:rPr>
          <w:rFonts w:ascii="Arial" w:eastAsia="Times New Roman" w:hAnsi="Arial" w:cs="Arial"/>
          <w:color w:val="000000"/>
          <w:sz w:val="28"/>
          <w:szCs w:val="28"/>
          <w:lang w:eastAsia="es-ES"/>
        </w:rPr>
        <w:t xml:space="preserve">De igual modo, el CERMI ha reclamado la necesidad de una regulación europea que garantice el trato apropiado a los productos de apoyo de los pasajeros con discapacidad, como sillas de ruedas, andadores, etc., así como la obligación de sustitución inmediata en </w:t>
      </w:r>
      <w:r w:rsidRPr="003C388F">
        <w:rPr>
          <w:rFonts w:ascii="Arial" w:eastAsia="Times New Roman" w:hAnsi="Arial" w:cs="Arial"/>
          <w:color w:val="000000"/>
          <w:sz w:val="28"/>
          <w:szCs w:val="28"/>
          <w:lang w:eastAsia="es-ES"/>
        </w:rPr>
        <w:lastRenderedPageBreak/>
        <w:t>caso de pérdida o deterioro, amén de recibir las indemnizaciones correspondientes.</w:t>
      </w:r>
    </w:p>
    <w:p w14:paraId="2BC1FB51" w14:textId="77777777" w:rsidR="001B5738" w:rsidRPr="003C388F" w:rsidRDefault="001B5738" w:rsidP="001B5738">
      <w:pPr>
        <w:spacing w:after="0" w:line="240" w:lineRule="auto"/>
        <w:jc w:val="both"/>
        <w:rPr>
          <w:rFonts w:ascii="Arial" w:eastAsia="Times New Roman" w:hAnsi="Arial" w:cs="Arial"/>
          <w:color w:val="000000"/>
          <w:sz w:val="28"/>
          <w:szCs w:val="28"/>
          <w:lang w:eastAsia="es-ES"/>
        </w:rPr>
      </w:pPr>
    </w:p>
    <w:p w14:paraId="4BD32E96" w14:textId="77777777" w:rsidR="00232CA3" w:rsidRPr="003C388F" w:rsidRDefault="00232CA3" w:rsidP="00232CA3">
      <w:pPr>
        <w:spacing w:line="240" w:lineRule="auto"/>
        <w:jc w:val="both"/>
        <w:rPr>
          <w:rFonts w:ascii="Arial" w:hAnsi="Arial" w:cs="Arial"/>
          <w:sz w:val="28"/>
          <w:szCs w:val="28"/>
        </w:rPr>
      </w:pPr>
      <w:r w:rsidRPr="003C388F">
        <w:rPr>
          <w:rFonts w:ascii="Arial" w:hAnsi="Arial" w:cs="Arial"/>
          <w:sz w:val="28"/>
          <w:szCs w:val="28"/>
        </w:rPr>
        <w:t>Se re</w:t>
      </w:r>
      <w:r w:rsidR="003C388F" w:rsidRPr="003C388F">
        <w:rPr>
          <w:rFonts w:ascii="Arial" w:hAnsi="Arial" w:cs="Arial"/>
          <w:sz w:val="28"/>
          <w:szCs w:val="28"/>
        </w:rPr>
        <w:t>sumen en los puntos siguientes:</w:t>
      </w:r>
    </w:p>
    <w:p w14:paraId="7FAF1A5D" w14:textId="77777777" w:rsidR="00232CA3" w:rsidRPr="003C388F" w:rsidRDefault="00232CA3" w:rsidP="00232CA3">
      <w:pPr>
        <w:spacing w:line="240" w:lineRule="auto"/>
        <w:jc w:val="both"/>
        <w:rPr>
          <w:rFonts w:ascii="Arial" w:hAnsi="Arial" w:cs="Arial"/>
          <w:b/>
          <w:sz w:val="28"/>
          <w:szCs w:val="28"/>
        </w:rPr>
      </w:pPr>
      <w:r w:rsidRPr="003C388F">
        <w:rPr>
          <w:rFonts w:ascii="Arial" w:hAnsi="Arial" w:cs="Arial"/>
          <w:b/>
          <w:sz w:val="28"/>
          <w:szCs w:val="28"/>
        </w:rPr>
        <w:t>1.- Atención a las personas usuarias del transporte aéreo</w:t>
      </w:r>
    </w:p>
    <w:p w14:paraId="7B9354DF" w14:textId="77777777" w:rsidR="00232CA3" w:rsidRPr="003C388F" w:rsidRDefault="00232CA3" w:rsidP="00232CA3">
      <w:pPr>
        <w:spacing w:line="240" w:lineRule="auto"/>
        <w:jc w:val="both"/>
        <w:rPr>
          <w:rFonts w:ascii="Arial" w:hAnsi="Arial" w:cs="Arial"/>
          <w:sz w:val="28"/>
          <w:szCs w:val="28"/>
        </w:rPr>
      </w:pPr>
      <w:r w:rsidRPr="003C388F">
        <w:rPr>
          <w:rFonts w:ascii="Arial" w:hAnsi="Arial" w:cs="Arial"/>
          <w:sz w:val="28"/>
          <w:szCs w:val="28"/>
        </w:rPr>
        <w:t xml:space="preserve">La asistencia a pasajeros debe tener presente en todas </w:t>
      </w:r>
      <w:r w:rsidR="00983EF7" w:rsidRPr="003C388F">
        <w:rPr>
          <w:rFonts w:ascii="Arial" w:hAnsi="Arial" w:cs="Arial"/>
          <w:sz w:val="28"/>
          <w:szCs w:val="28"/>
        </w:rPr>
        <w:t>la</w:t>
      </w:r>
      <w:r w:rsidRPr="003C388F">
        <w:rPr>
          <w:rFonts w:ascii="Arial" w:hAnsi="Arial" w:cs="Arial"/>
          <w:sz w:val="28"/>
          <w:szCs w:val="28"/>
        </w:rPr>
        <w:t>s facetas</w:t>
      </w:r>
      <w:r w:rsidR="00983EF7" w:rsidRPr="003C388F">
        <w:rPr>
          <w:rFonts w:ascii="Arial" w:hAnsi="Arial" w:cs="Arial"/>
          <w:sz w:val="28"/>
          <w:szCs w:val="28"/>
        </w:rPr>
        <w:t xml:space="preserve"> cubiertas por este servicio </w:t>
      </w:r>
      <w:r w:rsidRPr="003C388F">
        <w:rPr>
          <w:rFonts w:ascii="Arial" w:hAnsi="Arial" w:cs="Arial"/>
          <w:sz w:val="28"/>
          <w:szCs w:val="28"/>
        </w:rPr>
        <w:t>las necesidades de las p</w:t>
      </w:r>
      <w:r w:rsidR="00983EF7" w:rsidRPr="003C388F">
        <w:rPr>
          <w:rFonts w:ascii="Arial" w:hAnsi="Arial" w:cs="Arial"/>
          <w:sz w:val="28"/>
          <w:szCs w:val="28"/>
        </w:rPr>
        <w:t>ersonas con discapacidad:</w:t>
      </w:r>
      <w:r w:rsidRPr="003C388F">
        <w:rPr>
          <w:rFonts w:ascii="Arial" w:hAnsi="Arial" w:cs="Arial"/>
          <w:sz w:val="28"/>
          <w:szCs w:val="28"/>
        </w:rPr>
        <w:t xml:space="preserve"> </w:t>
      </w:r>
    </w:p>
    <w:p w14:paraId="5E2BEF36" w14:textId="77777777" w:rsidR="003C388F" w:rsidRPr="003C388F" w:rsidRDefault="003C388F" w:rsidP="003C388F">
      <w:pPr>
        <w:pStyle w:val="Prrafodelista"/>
        <w:numPr>
          <w:ilvl w:val="0"/>
          <w:numId w:val="1"/>
        </w:numPr>
        <w:spacing w:after="0" w:line="240" w:lineRule="auto"/>
        <w:jc w:val="both"/>
        <w:rPr>
          <w:rFonts w:ascii="Arial" w:eastAsia="Times New Roman" w:hAnsi="Arial" w:cs="Arial"/>
          <w:color w:val="000000"/>
          <w:sz w:val="28"/>
          <w:szCs w:val="28"/>
          <w:lang w:eastAsia="es-ES"/>
        </w:rPr>
      </w:pPr>
      <w:r w:rsidRPr="003C388F">
        <w:rPr>
          <w:rFonts w:ascii="Arial" w:eastAsia="Times New Roman" w:hAnsi="Arial" w:cs="Arial"/>
          <w:color w:val="000000"/>
          <w:sz w:val="28"/>
          <w:szCs w:val="28"/>
          <w:lang w:eastAsia="es-ES"/>
        </w:rPr>
        <w:t>Es precisa la derogación d</w:t>
      </w:r>
      <w:r w:rsidRPr="003C388F">
        <w:rPr>
          <w:rFonts w:ascii="Arial" w:eastAsia="Times New Roman" w:hAnsi="Arial" w:cs="Arial"/>
          <w:color w:val="000000"/>
          <w:sz w:val="28"/>
          <w:szCs w:val="28"/>
          <w:lang w:eastAsia="es-ES"/>
        </w:rPr>
        <w:t xml:space="preserve">el preaviso de 48 horas que establece la legislación comunitaria para solicitar la asistencia para el embarque de pasajeros con discapacidad que presenten movilidad </w:t>
      </w:r>
      <w:r w:rsidRPr="003C388F">
        <w:rPr>
          <w:rFonts w:ascii="Arial" w:eastAsia="Times New Roman" w:hAnsi="Arial" w:cs="Arial"/>
          <w:color w:val="000000"/>
          <w:sz w:val="28"/>
          <w:szCs w:val="28"/>
          <w:lang w:eastAsia="es-ES"/>
        </w:rPr>
        <w:t>reducida, puesto</w:t>
      </w:r>
      <w:r w:rsidRPr="003C388F">
        <w:rPr>
          <w:rFonts w:ascii="Arial" w:eastAsia="Times New Roman" w:hAnsi="Arial" w:cs="Arial"/>
          <w:color w:val="000000"/>
          <w:sz w:val="28"/>
          <w:szCs w:val="28"/>
          <w:lang w:eastAsia="es-ES"/>
        </w:rPr>
        <w:t xml:space="preserve"> que supone un trato más desfavorable que el que reciben el resto de usuarios del transporte aéreo.</w:t>
      </w:r>
    </w:p>
    <w:p w14:paraId="5684E2BA" w14:textId="77777777" w:rsidR="003C388F" w:rsidRPr="003C388F" w:rsidRDefault="003C388F" w:rsidP="003C388F">
      <w:pPr>
        <w:spacing w:after="0" w:line="240" w:lineRule="auto"/>
        <w:jc w:val="both"/>
        <w:rPr>
          <w:rFonts w:ascii="Arial" w:eastAsia="Times New Roman" w:hAnsi="Arial" w:cs="Arial"/>
          <w:color w:val="000000"/>
          <w:sz w:val="28"/>
          <w:szCs w:val="28"/>
          <w:lang w:eastAsia="es-ES"/>
        </w:rPr>
      </w:pPr>
    </w:p>
    <w:p w14:paraId="42FAD9EE" w14:textId="77777777" w:rsidR="003C388F" w:rsidRPr="003C388F" w:rsidRDefault="003C388F" w:rsidP="003C388F">
      <w:pPr>
        <w:pStyle w:val="Prrafodelista"/>
        <w:numPr>
          <w:ilvl w:val="0"/>
          <w:numId w:val="1"/>
        </w:numPr>
        <w:spacing w:after="0" w:line="240" w:lineRule="auto"/>
        <w:jc w:val="both"/>
        <w:rPr>
          <w:rFonts w:ascii="Arial" w:eastAsia="Times New Roman" w:hAnsi="Arial" w:cs="Arial"/>
          <w:color w:val="000000"/>
          <w:sz w:val="28"/>
          <w:szCs w:val="28"/>
          <w:lang w:eastAsia="es-ES"/>
        </w:rPr>
      </w:pPr>
      <w:r w:rsidRPr="003C388F">
        <w:rPr>
          <w:rFonts w:ascii="Arial" w:eastAsia="Times New Roman" w:hAnsi="Arial" w:cs="Arial"/>
          <w:color w:val="000000"/>
          <w:sz w:val="28"/>
          <w:szCs w:val="28"/>
          <w:lang w:eastAsia="es-ES"/>
        </w:rPr>
        <w:t>Otra exigencia es que l</w:t>
      </w:r>
      <w:r w:rsidRPr="003C388F">
        <w:rPr>
          <w:rFonts w:ascii="Arial" w:eastAsia="Times New Roman" w:hAnsi="Arial" w:cs="Arial"/>
          <w:color w:val="000000"/>
          <w:sz w:val="28"/>
          <w:szCs w:val="28"/>
          <w:lang w:eastAsia="es-ES"/>
        </w:rPr>
        <w:t>as compañías aéreas no perjudiquen a los pasajeros con discapacidad requiriendo en el momento de la facturación trámites especiales o impidan hacerla por medios electrónicos si esta modalidad está establecida para los clientes en general.</w:t>
      </w:r>
    </w:p>
    <w:p w14:paraId="2C874991" w14:textId="77777777" w:rsidR="003C388F" w:rsidRPr="003C388F" w:rsidRDefault="003C388F" w:rsidP="003C388F">
      <w:pPr>
        <w:spacing w:after="0" w:line="240" w:lineRule="auto"/>
        <w:jc w:val="both"/>
        <w:rPr>
          <w:rFonts w:ascii="Arial" w:eastAsia="Times New Roman" w:hAnsi="Arial" w:cs="Arial"/>
          <w:color w:val="000000"/>
          <w:sz w:val="28"/>
          <w:szCs w:val="28"/>
          <w:lang w:eastAsia="es-ES"/>
        </w:rPr>
      </w:pPr>
    </w:p>
    <w:p w14:paraId="5D1E0BCD" w14:textId="77777777" w:rsidR="00983EF7" w:rsidRPr="003C388F" w:rsidRDefault="00983EF7" w:rsidP="00574964">
      <w:pPr>
        <w:pStyle w:val="Prrafodelista"/>
        <w:numPr>
          <w:ilvl w:val="0"/>
          <w:numId w:val="1"/>
        </w:numPr>
        <w:spacing w:line="240" w:lineRule="auto"/>
        <w:jc w:val="both"/>
        <w:rPr>
          <w:rFonts w:ascii="Arial" w:hAnsi="Arial" w:cs="Arial"/>
          <w:sz w:val="28"/>
          <w:szCs w:val="28"/>
        </w:rPr>
      </w:pPr>
      <w:r w:rsidRPr="003C388F">
        <w:rPr>
          <w:rFonts w:ascii="Arial" w:hAnsi="Arial" w:cs="Arial"/>
          <w:sz w:val="28"/>
          <w:szCs w:val="28"/>
        </w:rPr>
        <w:t>Aplicación de criterios de accesibilidad universal en todos los ámbitos del servicio de asistencia (entornos, equipos, materiales, etc</w:t>
      </w:r>
      <w:r w:rsidR="003C388F" w:rsidRPr="003C388F">
        <w:rPr>
          <w:rFonts w:ascii="Arial" w:hAnsi="Arial" w:cs="Arial"/>
          <w:sz w:val="28"/>
          <w:szCs w:val="28"/>
        </w:rPr>
        <w:t>.</w:t>
      </w:r>
      <w:r w:rsidRPr="003C388F">
        <w:rPr>
          <w:rFonts w:ascii="Arial" w:hAnsi="Arial" w:cs="Arial"/>
          <w:sz w:val="28"/>
          <w:szCs w:val="28"/>
        </w:rPr>
        <w:t>)</w:t>
      </w:r>
      <w:r w:rsidR="00292A50" w:rsidRPr="003C388F">
        <w:rPr>
          <w:rFonts w:ascii="Arial" w:hAnsi="Arial" w:cs="Arial"/>
          <w:sz w:val="28"/>
          <w:szCs w:val="28"/>
        </w:rPr>
        <w:t>.</w:t>
      </w:r>
    </w:p>
    <w:p w14:paraId="64B7A64A" w14:textId="77777777" w:rsidR="00292A50" w:rsidRPr="003C388F" w:rsidRDefault="00292A50" w:rsidP="00292A50">
      <w:pPr>
        <w:pStyle w:val="Prrafodelista"/>
        <w:spacing w:line="240" w:lineRule="auto"/>
        <w:jc w:val="both"/>
        <w:rPr>
          <w:rFonts w:ascii="Arial" w:hAnsi="Arial" w:cs="Arial"/>
          <w:sz w:val="28"/>
          <w:szCs w:val="28"/>
        </w:rPr>
      </w:pPr>
    </w:p>
    <w:p w14:paraId="74735785" w14:textId="77777777" w:rsidR="00983EF7" w:rsidRPr="003C388F" w:rsidRDefault="00983EF7" w:rsidP="00574964">
      <w:pPr>
        <w:pStyle w:val="Prrafodelista"/>
        <w:numPr>
          <w:ilvl w:val="0"/>
          <w:numId w:val="1"/>
        </w:numPr>
        <w:spacing w:line="240" w:lineRule="auto"/>
        <w:jc w:val="both"/>
        <w:rPr>
          <w:rFonts w:ascii="Arial" w:hAnsi="Arial" w:cs="Arial"/>
          <w:sz w:val="28"/>
          <w:szCs w:val="28"/>
        </w:rPr>
      </w:pPr>
      <w:r w:rsidRPr="003C388F">
        <w:rPr>
          <w:rFonts w:ascii="Arial" w:hAnsi="Arial" w:cs="Arial"/>
          <w:sz w:val="28"/>
          <w:szCs w:val="28"/>
        </w:rPr>
        <w:t xml:space="preserve">Formación específica </w:t>
      </w:r>
      <w:r w:rsidR="006D533E" w:rsidRPr="003C388F">
        <w:rPr>
          <w:rFonts w:ascii="Arial" w:hAnsi="Arial" w:cs="Arial"/>
          <w:sz w:val="28"/>
          <w:szCs w:val="28"/>
        </w:rPr>
        <w:t xml:space="preserve">y continuada </w:t>
      </w:r>
      <w:r w:rsidR="00574964" w:rsidRPr="003C388F">
        <w:rPr>
          <w:rFonts w:ascii="Arial" w:hAnsi="Arial" w:cs="Arial"/>
          <w:sz w:val="28"/>
          <w:szCs w:val="28"/>
        </w:rPr>
        <w:t xml:space="preserve">en atención a personas con discapacidad </w:t>
      </w:r>
      <w:r w:rsidRPr="003C388F">
        <w:rPr>
          <w:rFonts w:ascii="Arial" w:hAnsi="Arial" w:cs="Arial"/>
          <w:sz w:val="28"/>
          <w:szCs w:val="28"/>
        </w:rPr>
        <w:t>dirigida a los equipos responsables de prestar el servicio.</w:t>
      </w:r>
      <w:r w:rsidR="006D533E" w:rsidRPr="003C388F">
        <w:rPr>
          <w:rFonts w:ascii="Arial" w:hAnsi="Arial" w:cs="Arial"/>
          <w:sz w:val="28"/>
          <w:szCs w:val="28"/>
        </w:rPr>
        <w:t xml:space="preserve"> Esta formación debe tener presente la diversidad de la discapacidad, recogiendo los aspectos específicos relacionados con necesidades sensoriales, físicas, orgánicas, intelectuales, cognitivas, del desarrollo o psicosociales.</w:t>
      </w:r>
    </w:p>
    <w:p w14:paraId="07F18613" w14:textId="77777777" w:rsidR="00292A50" w:rsidRPr="003C388F" w:rsidRDefault="00292A50" w:rsidP="00292A50">
      <w:pPr>
        <w:pStyle w:val="Prrafodelista"/>
        <w:rPr>
          <w:rFonts w:ascii="Arial" w:hAnsi="Arial" w:cs="Arial"/>
          <w:sz w:val="28"/>
          <w:szCs w:val="28"/>
        </w:rPr>
      </w:pPr>
    </w:p>
    <w:p w14:paraId="57B14B03" w14:textId="77777777" w:rsidR="00292A50" w:rsidRPr="003C388F" w:rsidRDefault="00292A50" w:rsidP="00574964">
      <w:pPr>
        <w:pStyle w:val="Prrafodelista"/>
        <w:numPr>
          <w:ilvl w:val="0"/>
          <w:numId w:val="1"/>
        </w:numPr>
        <w:spacing w:line="240" w:lineRule="auto"/>
        <w:jc w:val="both"/>
        <w:rPr>
          <w:rFonts w:ascii="Arial" w:hAnsi="Arial" w:cs="Arial"/>
          <w:sz w:val="28"/>
          <w:szCs w:val="28"/>
        </w:rPr>
      </w:pPr>
      <w:r w:rsidRPr="003C388F">
        <w:rPr>
          <w:rFonts w:ascii="Arial" w:hAnsi="Arial" w:cs="Arial"/>
          <w:sz w:val="28"/>
          <w:szCs w:val="28"/>
        </w:rPr>
        <w:t>Consideración de las necesidades asociadas a la discapacidad a la hora de aplicar las normas de seguridad, tanto en el aeropuerto como en el embarque y desembarque y dentro de la aeronave.</w:t>
      </w:r>
    </w:p>
    <w:p w14:paraId="47979033" w14:textId="77777777" w:rsidR="00292A50" w:rsidRPr="003C388F" w:rsidRDefault="00292A50" w:rsidP="00292A50">
      <w:pPr>
        <w:pStyle w:val="Prrafodelista"/>
        <w:rPr>
          <w:rFonts w:ascii="Arial" w:hAnsi="Arial" w:cs="Arial"/>
          <w:sz w:val="28"/>
          <w:szCs w:val="28"/>
        </w:rPr>
      </w:pPr>
    </w:p>
    <w:p w14:paraId="1C83D3C4" w14:textId="77777777" w:rsidR="00983EF7" w:rsidRPr="003C388F" w:rsidRDefault="00983EF7" w:rsidP="00574964">
      <w:pPr>
        <w:pStyle w:val="Prrafodelista"/>
        <w:numPr>
          <w:ilvl w:val="0"/>
          <w:numId w:val="1"/>
        </w:numPr>
        <w:spacing w:line="240" w:lineRule="auto"/>
        <w:jc w:val="both"/>
        <w:rPr>
          <w:rFonts w:ascii="Arial" w:hAnsi="Arial" w:cs="Arial"/>
          <w:sz w:val="28"/>
          <w:szCs w:val="28"/>
        </w:rPr>
      </w:pPr>
      <w:r w:rsidRPr="003C388F">
        <w:rPr>
          <w:rFonts w:ascii="Arial" w:hAnsi="Arial" w:cs="Arial"/>
          <w:sz w:val="28"/>
          <w:szCs w:val="28"/>
        </w:rPr>
        <w:t xml:space="preserve">La comunicación debe realizarse en formatos accesibles siguiendo criterios de accesibilidad universal, que tenga en </w:t>
      </w:r>
      <w:r w:rsidRPr="003C388F">
        <w:rPr>
          <w:rFonts w:ascii="Arial" w:hAnsi="Arial" w:cs="Arial"/>
          <w:sz w:val="28"/>
          <w:szCs w:val="28"/>
        </w:rPr>
        <w:lastRenderedPageBreak/>
        <w:t>cuenta</w:t>
      </w:r>
      <w:r w:rsidR="00292A50" w:rsidRPr="003C388F">
        <w:rPr>
          <w:rFonts w:ascii="Arial" w:hAnsi="Arial" w:cs="Arial"/>
          <w:sz w:val="28"/>
          <w:szCs w:val="28"/>
        </w:rPr>
        <w:t xml:space="preserve"> todas </w:t>
      </w:r>
      <w:r w:rsidRPr="003C388F">
        <w:rPr>
          <w:rFonts w:ascii="Arial" w:hAnsi="Arial" w:cs="Arial"/>
          <w:sz w:val="28"/>
          <w:szCs w:val="28"/>
        </w:rPr>
        <w:t xml:space="preserve">las necesidades diversas de todas las personas con discapacidad. </w:t>
      </w:r>
    </w:p>
    <w:p w14:paraId="085FB483" w14:textId="77777777" w:rsidR="00292A50" w:rsidRPr="003C388F" w:rsidRDefault="00292A50" w:rsidP="00292A50">
      <w:pPr>
        <w:pStyle w:val="Prrafodelista"/>
        <w:rPr>
          <w:rFonts w:ascii="Arial" w:hAnsi="Arial" w:cs="Arial"/>
          <w:sz w:val="28"/>
          <w:szCs w:val="28"/>
        </w:rPr>
      </w:pPr>
    </w:p>
    <w:p w14:paraId="5A9CC2CE" w14:textId="77777777" w:rsidR="00292A50" w:rsidRPr="003C388F" w:rsidRDefault="00292A50" w:rsidP="00292A50">
      <w:pPr>
        <w:pStyle w:val="Prrafodelista"/>
        <w:numPr>
          <w:ilvl w:val="0"/>
          <w:numId w:val="1"/>
        </w:numPr>
        <w:spacing w:line="240" w:lineRule="auto"/>
        <w:jc w:val="both"/>
        <w:rPr>
          <w:rFonts w:ascii="Arial" w:hAnsi="Arial" w:cs="Arial"/>
          <w:sz w:val="28"/>
          <w:szCs w:val="28"/>
        </w:rPr>
      </w:pPr>
      <w:r w:rsidRPr="003C388F">
        <w:rPr>
          <w:rFonts w:ascii="Arial" w:hAnsi="Arial" w:cs="Arial"/>
          <w:sz w:val="28"/>
          <w:szCs w:val="28"/>
        </w:rPr>
        <w:t xml:space="preserve">Utilización de la transformación digital aplicada a estos servicios como un elemento aliado de la discapacidad, siempre que se garantice su accesibilidad universal. </w:t>
      </w:r>
    </w:p>
    <w:p w14:paraId="4AEA4209" w14:textId="77777777" w:rsidR="00292A50" w:rsidRPr="003C388F" w:rsidRDefault="00292A50" w:rsidP="00292A50">
      <w:pPr>
        <w:pStyle w:val="Prrafodelista"/>
        <w:rPr>
          <w:rFonts w:ascii="Arial" w:hAnsi="Arial" w:cs="Arial"/>
          <w:sz w:val="28"/>
          <w:szCs w:val="28"/>
        </w:rPr>
      </w:pPr>
    </w:p>
    <w:p w14:paraId="17F42E03" w14:textId="77777777" w:rsidR="00574964" w:rsidRPr="003C388F" w:rsidRDefault="00574964" w:rsidP="00574964">
      <w:pPr>
        <w:pStyle w:val="Prrafodelista"/>
        <w:numPr>
          <w:ilvl w:val="0"/>
          <w:numId w:val="2"/>
        </w:numPr>
        <w:spacing w:before="100" w:beforeAutospacing="1" w:after="100" w:afterAutospacing="1" w:line="240" w:lineRule="auto"/>
        <w:jc w:val="both"/>
        <w:rPr>
          <w:rFonts w:ascii="Arial" w:eastAsia="Times New Roman" w:hAnsi="Arial" w:cs="Arial"/>
          <w:sz w:val="28"/>
          <w:szCs w:val="28"/>
          <w:lang w:eastAsia="es-ES"/>
        </w:rPr>
      </w:pPr>
      <w:r w:rsidRPr="003C388F">
        <w:rPr>
          <w:rFonts w:ascii="Arial" w:hAnsi="Arial" w:cs="Arial"/>
          <w:sz w:val="28"/>
          <w:szCs w:val="28"/>
        </w:rPr>
        <w:t xml:space="preserve">Incorporación del servicio específico de asistencia a personas con o en situación de discapacidad. Este servicio debe ser controlado por la “entidad gestora”, con independencia de que </w:t>
      </w:r>
      <w:r w:rsidRPr="003C388F">
        <w:rPr>
          <w:rFonts w:ascii="Arial" w:eastAsia="Times New Roman" w:hAnsi="Arial" w:cs="Arial"/>
          <w:sz w:val="28"/>
          <w:szCs w:val="28"/>
          <w:lang w:eastAsia="es-ES"/>
        </w:rPr>
        <w:t>la responsabilidad de la gestión recaiga en un "agente de asistencia en tierra". El "agente de asistencia en tierra" debería ser el mismo en todos los aeropuertos del país y, si ello no fuera posible se coordinen los que existan y se controlen y se haga un seguimiento estrecho de su gestión por parte de la "entidad gestora".</w:t>
      </w:r>
    </w:p>
    <w:p w14:paraId="0D95DB4C" w14:textId="77777777" w:rsidR="00983EF7" w:rsidRPr="003C388F" w:rsidRDefault="00983EF7" w:rsidP="00983EF7">
      <w:pPr>
        <w:spacing w:line="240" w:lineRule="auto"/>
        <w:jc w:val="both"/>
        <w:rPr>
          <w:rFonts w:ascii="Arial" w:hAnsi="Arial" w:cs="Arial"/>
          <w:b/>
          <w:sz w:val="28"/>
          <w:szCs w:val="28"/>
        </w:rPr>
      </w:pPr>
      <w:r w:rsidRPr="003C388F">
        <w:rPr>
          <w:rFonts w:ascii="Arial" w:hAnsi="Arial" w:cs="Arial"/>
          <w:b/>
          <w:sz w:val="28"/>
          <w:szCs w:val="28"/>
        </w:rPr>
        <w:t>2.- Asistencia de equipajes</w:t>
      </w:r>
    </w:p>
    <w:p w14:paraId="490A9A8C" w14:textId="77777777" w:rsidR="00983EF7" w:rsidRPr="003C388F" w:rsidRDefault="00292A50" w:rsidP="00232CA3">
      <w:pPr>
        <w:spacing w:line="240" w:lineRule="auto"/>
        <w:jc w:val="both"/>
        <w:rPr>
          <w:rFonts w:ascii="Arial" w:hAnsi="Arial" w:cs="Arial"/>
          <w:sz w:val="28"/>
          <w:szCs w:val="28"/>
        </w:rPr>
      </w:pPr>
      <w:r w:rsidRPr="003C388F">
        <w:rPr>
          <w:rFonts w:ascii="Arial" w:hAnsi="Arial" w:cs="Arial"/>
          <w:sz w:val="28"/>
          <w:szCs w:val="28"/>
        </w:rPr>
        <w:t>La asistencia</w:t>
      </w:r>
      <w:r w:rsidR="00983EF7" w:rsidRPr="003C388F">
        <w:rPr>
          <w:rFonts w:ascii="Arial" w:hAnsi="Arial" w:cs="Arial"/>
          <w:sz w:val="28"/>
          <w:szCs w:val="28"/>
        </w:rPr>
        <w:t xml:space="preserve"> de equipajes debe tener presente las necesidades específicas de los </w:t>
      </w:r>
      <w:r w:rsidR="00D42390" w:rsidRPr="003C388F">
        <w:rPr>
          <w:rFonts w:ascii="Arial" w:hAnsi="Arial" w:cs="Arial"/>
          <w:sz w:val="28"/>
          <w:szCs w:val="28"/>
        </w:rPr>
        <w:t>producto</w:t>
      </w:r>
      <w:r w:rsidR="00983EF7" w:rsidRPr="003C388F">
        <w:rPr>
          <w:rFonts w:ascii="Arial" w:hAnsi="Arial" w:cs="Arial"/>
          <w:sz w:val="28"/>
          <w:szCs w:val="28"/>
        </w:rPr>
        <w:t xml:space="preserve">s de apoyo (sillas de ruedas, </w:t>
      </w:r>
      <w:r w:rsidR="00D42390" w:rsidRPr="003C388F">
        <w:rPr>
          <w:rFonts w:ascii="Arial" w:hAnsi="Arial" w:cs="Arial"/>
          <w:sz w:val="28"/>
          <w:szCs w:val="28"/>
        </w:rPr>
        <w:t xml:space="preserve">escúteres, </w:t>
      </w:r>
      <w:r w:rsidR="00983EF7" w:rsidRPr="003C388F">
        <w:rPr>
          <w:rFonts w:ascii="Arial" w:hAnsi="Arial" w:cs="Arial"/>
          <w:sz w:val="28"/>
          <w:szCs w:val="28"/>
        </w:rPr>
        <w:t xml:space="preserve">muletas, etc) que precisan las personas con discapacidad, que no pueden ser considerados como equipaje al uso, sino que deben ser gestionados de forma singular por su carácter esencial para garantizar la autonomía de la persona con discapacidad. </w:t>
      </w:r>
      <w:r w:rsidR="00574964" w:rsidRPr="003C388F">
        <w:rPr>
          <w:rFonts w:ascii="Arial" w:hAnsi="Arial" w:cs="Arial"/>
          <w:sz w:val="28"/>
          <w:szCs w:val="28"/>
        </w:rPr>
        <w:t>Es importante formar a quienes prestan el servicio en cómo trasladar este equipo para evitar su daño o deterioro.</w:t>
      </w:r>
    </w:p>
    <w:p w14:paraId="36D7BF95" w14:textId="77777777" w:rsidR="00983EF7" w:rsidRPr="003C388F" w:rsidRDefault="00983EF7" w:rsidP="00232CA3">
      <w:pPr>
        <w:spacing w:line="240" w:lineRule="auto"/>
        <w:jc w:val="both"/>
        <w:rPr>
          <w:rFonts w:ascii="Arial" w:hAnsi="Arial" w:cs="Arial"/>
          <w:b/>
          <w:sz w:val="28"/>
          <w:szCs w:val="28"/>
        </w:rPr>
      </w:pPr>
      <w:r w:rsidRPr="003C388F">
        <w:rPr>
          <w:rFonts w:ascii="Arial" w:hAnsi="Arial" w:cs="Arial"/>
          <w:b/>
          <w:sz w:val="28"/>
          <w:szCs w:val="28"/>
        </w:rPr>
        <w:t>3.- Cláusulas sociales</w:t>
      </w:r>
    </w:p>
    <w:p w14:paraId="0DDD7EFD" w14:textId="77777777" w:rsidR="00983EF7" w:rsidRPr="003C388F" w:rsidRDefault="00983EF7" w:rsidP="00232CA3">
      <w:pPr>
        <w:spacing w:line="240" w:lineRule="auto"/>
        <w:jc w:val="both"/>
        <w:rPr>
          <w:rFonts w:ascii="Arial" w:hAnsi="Arial" w:cs="Arial"/>
          <w:sz w:val="28"/>
          <w:szCs w:val="28"/>
        </w:rPr>
      </w:pPr>
      <w:r w:rsidRPr="003C388F">
        <w:rPr>
          <w:rFonts w:ascii="Arial" w:hAnsi="Arial" w:cs="Arial"/>
          <w:sz w:val="28"/>
          <w:szCs w:val="28"/>
        </w:rPr>
        <w:t xml:space="preserve">Las empresas responsables de ofrecer los servicios de asistencia en tierra deberán tener presente la normativa de contratación pública en lo que se refiere a la contratación de personas con discapacidad, así como a la </w:t>
      </w:r>
      <w:r w:rsidR="00574964" w:rsidRPr="003C388F">
        <w:rPr>
          <w:rFonts w:ascii="Arial" w:hAnsi="Arial" w:cs="Arial"/>
          <w:sz w:val="28"/>
          <w:szCs w:val="28"/>
        </w:rPr>
        <w:t>accesibilidad de sus productos y servicios.</w:t>
      </w:r>
    </w:p>
    <w:p w14:paraId="055D6ACF" w14:textId="77777777" w:rsidR="005D4C44" w:rsidRPr="003C388F" w:rsidRDefault="006374AB" w:rsidP="00232CA3">
      <w:pPr>
        <w:spacing w:line="240" w:lineRule="auto"/>
        <w:jc w:val="both"/>
        <w:rPr>
          <w:rFonts w:ascii="Arial" w:hAnsi="Arial" w:cs="Arial"/>
          <w:b/>
          <w:sz w:val="28"/>
          <w:szCs w:val="28"/>
        </w:rPr>
      </w:pPr>
      <w:r w:rsidRPr="003C388F">
        <w:rPr>
          <w:rFonts w:ascii="Arial" w:hAnsi="Arial" w:cs="Arial"/>
          <w:b/>
          <w:sz w:val="28"/>
          <w:szCs w:val="28"/>
        </w:rPr>
        <w:t>4</w:t>
      </w:r>
      <w:r w:rsidR="006B73EB" w:rsidRPr="003C388F">
        <w:rPr>
          <w:rFonts w:ascii="Arial" w:hAnsi="Arial" w:cs="Arial"/>
          <w:b/>
          <w:sz w:val="28"/>
          <w:szCs w:val="28"/>
        </w:rPr>
        <w:t xml:space="preserve">.- </w:t>
      </w:r>
      <w:r w:rsidRPr="003C388F">
        <w:rPr>
          <w:rFonts w:ascii="Arial" w:hAnsi="Arial" w:cs="Arial"/>
          <w:b/>
          <w:sz w:val="28"/>
          <w:szCs w:val="28"/>
        </w:rPr>
        <w:t>Seguimiento y evaluación de este servicio</w:t>
      </w:r>
    </w:p>
    <w:p w14:paraId="6BD731D5" w14:textId="77777777" w:rsidR="006B73EB" w:rsidRPr="003C388F" w:rsidRDefault="006374AB" w:rsidP="00232CA3">
      <w:pPr>
        <w:spacing w:line="240" w:lineRule="auto"/>
        <w:jc w:val="both"/>
        <w:rPr>
          <w:rFonts w:ascii="Arial" w:hAnsi="Arial" w:cs="Arial"/>
          <w:sz w:val="28"/>
          <w:szCs w:val="28"/>
        </w:rPr>
      </w:pPr>
      <w:r w:rsidRPr="003C388F">
        <w:rPr>
          <w:rFonts w:ascii="Arial" w:hAnsi="Arial" w:cs="Arial"/>
          <w:sz w:val="28"/>
          <w:szCs w:val="28"/>
        </w:rPr>
        <w:t>Tener presente la perspectiva de la discapacidad en el seguimiento y evaluación del servicio, que recoja entre otras cuestiones las quejas recibidas y si tratamiento.</w:t>
      </w:r>
    </w:p>
    <w:p w14:paraId="399F9FC8" w14:textId="77777777" w:rsidR="006374AB" w:rsidRPr="003C388F" w:rsidRDefault="006374AB" w:rsidP="006374AB">
      <w:pPr>
        <w:spacing w:line="240" w:lineRule="auto"/>
        <w:jc w:val="both"/>
        <w:rPr>
          <w:rFonts w:ascii="Arial" w:hAnsi="Arial" w:cs="Arial"/>
          <w:b/>
          <w:sz w:val="28"/>
          <w:szCs w:val="28"/>
        </w:rPr>
      </w:pPr>
      <w:r w:rsidRPr="003C388F">
        <w:rPr>
          <w:rFonts w:ascii="Arial" w:hAnsi="Arial" w:cs="Arial"/>
          <w:b/>
          <w:sz w:val="28"/>
          <w:szCs w:val="28"/>
        </w:rPr>
        <w:t>5.- Alianzas con la sociedad civil</w:t>
      </w:r>
    </w:p>
    <w:p w14:paraId="3BC1889C" w14:textId="77777777" w:rsidR="006374AB" w:rsidRPr="003C388F" w:rsidRDefault="006374AB" w:rsidP="006374AB">
      <w:pPr>
        <w:spacing w:line="240" w:lineRule="auto"/>
        <w:jc w:val="both"/>
        <w:rPr>
          <w:rFonts w:ascii="Arial" w:hAnsi="Arial" w:cs="Arial"/>
          <w:sz w:val="28"/>
          <w:szCs w:val="28"/>
        </w:rPr>
      </w:pPr>
      <w:r w:rsidRPr="003C388F">
        <w:rPr>
          <w:rFonts w:ascii="Arial" w:hAnsi="Arial" w:cs="Arial"/>
          <w:sz w:val="28"/>
          <w:szCs w:val="28"/>
        </w:rPr>
        <w:lastRenderedPageBreak/>
        <w:t>Debe mantenerse como hasta el momento la colaboración de la sociedad civil de la discapacidad con las entidades responsables de la prestación de los servicios de tierra, y con las autoridades que controlan los mismos.</w:t>
      </w:r>
    </w:p>
    <w:p w14:paraId="0AA2910E" w14:textId="77777777" w:rsidR="006374AB" w:rsidRPr="003C388F" w:rsidRDefault="006374AB" w:rsidP="006374AB">
      <w:pPr>
        <w:spacing w:line="240" w:lineRule="auto"/>
        <w:jc w:val="right"/>
        <w:rPr>
          <w:rFonts w:ascii="Arial" w:hAnsi="Arial" w:cs="Arial"/>
          <w:sz w:val="28"/>
          <w:szCs w:val="28"/>
        </w:rPr>
      </w:pPr>
      <w:r w:rsidRPr="003C388F">
        <w:rPr>
          <w:rFonts w:ascii="Arial" w:hAnsi="Arial" w:cs="Arial"/>
          <w:sz w:val="28"/>
          <w:szCs w:val="28"/>
        </w:rPr>
        <w:t>Abril de 2020</w:t>
      </w:r>
    </w:p>
    <w:p w14:paraId="19A38B66" w14:textId="77777777" w:rsidR="006374AB" w:rsidRPr="003C388F" w:rsidRDefault="006374AB" w:rsidP="006374AB">
      <w:pPr>
        <w:spacing w:line="240" w:lineRule="auto"/>
        <w:jc w:val="right"/>
        <w:rPr>
          <w:rFonts w:ascii="Arial" w:hAnsi="Arial" w:cs="Arial"/>
          <w:sz w:val="28"/>
          <w:szCs w:val="28"/>
        </w:rPr>
      </w:pPr>
    </w:p>
    <w:p w14:paraId="32277C35" w14:textId="77777777" w:rsidR="003C388F" w:rsidRPr="003C388F" w:rsidRDefault="003C388F" w:rsidP="006374AB">
      <w:pPr>
        <w:spacing w:line="240" w:lineRule="auto"/>
        <w:jc w:val="center"/>
        <w:rPr>
          <w:rFonts w:ascii="Arial" w:hAnsi="Arial" w:cs="Arial"/>
          <w:b/>
          <w:sz w:val="28"/>
          <w:szCs w:val="28"/>
        </w:rPr>
      </w:pPr>
      <w:r w:rsidRPr="003C388F">
        <w:rPr>
          <w:rFonts w:ascii="Arial" w:hAnsi="Arial" w:cs="Arial"/>
          <w:b/>
          <w:sz w:val="28"/>
          <w:szCs w:val="28"/>
        </w:rPr>
        <w:t>CERMI</w:t>
      </w:r>
    </w:p>
    <w:p w14:paraId="2FD4C0EA" w14:textId="77777777" w:rsidR="006374AB" w:rsidRPr="003C388F" w:rsidRDefault="001B5738" w:rsidP="006374AB">
      <w:pPr>
        <w:spacing w:line="240" w:lineRule="auto"/>
        <w:jc w:val="center"/>
        <w:rPr>
          <w:rFonts w:ascii="Arial" w:hAnsi="Arial" w:cs="Arial"/>
          <w:b/>
          <w:sz w:val="28"/>
          <w:szCs w:val="28"/>
        </w:rPr>
      </w:pPr>
      <w:hyperlink r:id="rId9" w:history="1">
        <w:r w:rsidR="006374AB" w:rsidRPr="003C388F">
          <w:rPr>
            <w:rStyle w:val="Hipervnculo"/>
            <w:rFonts w:ascii="Arial" w:hAnsi="Arial" w:cs="Arial"/>
            <w:b/>
            <w:sz w:val="28"/>
            <w:szCs w:val="28"/>
          </w:rPr>
          <w:t>www.cermi.es</w:t>
        </w:r>
      </w:hyperlink>
    </w:p>
    <w:p w14:paraId="0FF9ABAD" w14:textId="77777777" w:rsidR="006374AB" w:rsidRPr="003C388F" w:rsidRDefault="006374AB" w:rsidP="006374AB">
      <w:pPr>
        <w:spacing w:line="240" w:lineRule="auto"/>
        <w:jc w:val="center"/>
        <w:rPr>
          <w:rFonts w:ascii="Arial" w:hAnsi="Arial" w:cs="Arial"/>
          <w:sz w:val="28"/>
          <w:szCs w:val="28"/>
        </w:rPr>
      </w:pPr>
    </w:p>
    <w:sectPr w:rsidR="006374AB" w:rsidRPr="003C388F" w:rsidSect="002D5240">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965D" w14:textId="77777777" w:rsidR="003C388F" w:rsidRDefault="003C388F" w:rsidP="003C388F">
      <w:pPr>
        <w:spacing w:after="0" w:line="240" w:lineRule="auto"/>
      </w:pPr>
      <w:r>
        <w:separator/>
      </w:r>
    </w:p>
  </w:endnote>
  <w:endnote w:type="continuationSeparator" w:id="0">
    <w:p w14:paraId="0DFC61DE" w14:textId="77777777" w:rsidR="003C388F" w:rsidRDefault="003C388F" w:rsidP="003C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4E33" w14:textId="77777777" w:rsidR="003C388F" w:rsidRDefault="003C388F" w:rsidP="00FA45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DD0272" w14:textId="77777777" w:rsidR="003C388F" w:rsidRDefault="003C388F" w:rsidP="003C388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D32D" w14:textId="77777777" w:rsidR="003C388F" w:rsidRDefault="003C388F" w:rsidP="00FA45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3FD4">
      <w:rPr>
        <w:rStyle w:val="Nmerodepgina"/>
        <w:noProof/>
      </w:rPr>
      <w:t>3</w:t>
    </w:r>
    <w:r>
      <w:rPr>
        <w:rStyle w:val="Nmerodepgina"/>
      </w:rPr>
      <w:fldChar w:fldCharType="end"/>
    </w:r>
  </w:p>
  <w:p w14:paraId="73C251EA" w14:textId="77777777" w:rsidR="003C388F" w:rsidRDefault="003C388F" w:rsidP="003C388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8C11" w14:textId="77777777" w:rsidR="003C388F" w:rsidRDefault="003C388F" w:rsidP="003C388F">
      <w:pPr>
        <w:spacing w:after="0" w:line="240" w:lineRule="auto"/>
      </w:pPr>
      <w:r>
        <w:separator/>
      </w:r>
    </w:p>
  </w:footnote>
  <w:footnote w:type="continuationSeparator" w:id="0">
    <w:p w14:paraId="55D95BDE" w14:textId="77777777" w:rsidR="003C388F" w:rsidRDefault="003C388F" w:rsidP="003C3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161"/>
    <w:multiLevelType w:val="multilevel"/>
    <w:tmpl w:val="A78E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B2D28"/>
    <w:multiLevelType w:val="hybridMultilevel"/>
    <w:tmpl w:val="3108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A3"/>
    <w:rsid w:val="00116DD8"/>
    <w:rsid w:val="001B5738"/>
    <w:rsid w:val="00232CA3"/>
    <w:rsid w:val="00292A50"/>
    <w:rsid w:val="002D5240"/>
    <w:rsid w:val="003C388F"/>
    <w:rsid w:val="00574964"/>
    <w:rsid w:val="005D4C44"/>
    <w:rsid w:val="005E3FD4"/>
    <w:rsid w:val="006374AB"/>
    <w:rsid w:val="006B73EB"/>
    <w:rsid w:val="006D533E"/>
    <w:rsid w:val="00924DB0"/>
    <w:rsid w:val="00983EF7"/>
    <w:rsid w:val="00D423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B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40"/>
  </w:style>
  <w:style w:type="paragraph" w:styleId="Ttulo1">
    <w:name w:val="heading 1"/>
    <w:basedOn w:val="Normal"/>
    <w:link w:val="Ttulo1Car"/>
    <w:uiPriority w:val="9"/>
    <w:qFormat/>
    <w:rsid w:val="001B5738"/>
    <w:pPr>
      <w:spacing w:before="100" w:beforeAutospacing="1" w:after="100" w:afterAutospacing="1" w:line="240" w:lineRule="auto"/>
      <w:outlineLvl w:val="0"/>
    </w:pPr>
    <w:rPr>
      <w:rFonts w:ascii="Times" w:eastAsiaTheme="minorEastAsia"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964"/>
    <w:pPr>
      <w:ind w:left="720"/>
      <w:contextualSpacing/>
    </w:pPr>
  </w:style>
  <w:style w:type="character" w:styleId="Hipervnculo">
    <w:name w:val="Hyperlink"/>
    <w:basedOn w:val="Fuentedeprrafopredeter"/>
    <w:uiPriority w:val="99"/>
    <w:unhideWhenUsed/>
    <w:rsid w:val="006374AB"/>
    <w:rPr>
      <w:color w:val="0000FF" w:themeColor="hyperlink"/>
      <w:u w:val="single"/>
    </w:rPr>
  </w:style>
  <w:style w:type="character" w:customStyle="1" w:styleId="Ttulo1Car">
    <w:name w:val="Título 1 Car"/>
    <w:basedOn w:val="Fuentedeprrafopredeter"/>
    <w:link w:val="Ttulo1"/>
    <w:uiPriority w:val="9"/>
    <w:rsid w:val="001B5738"/>
    <w:rPr>
      <w:rFonts w:ascii="Times" w:eastAsiaTheme="minorEastAsia" w:hAnsi="Times"/>
      <w:b/>
      <w:bCs/>
      <w:kern w:val="36"/>
      <w:sz w:val="48"/>
      <w:szCs w:val="48"/>
      <w:lang w:eastAsia="es-ES"/>
    </w:rPr>
  </w:style>
  <w:style w:type="character" w:customStyle="1" w:styleId="apple-converted-space">
    <w:name w:val="apple-converted-space"/>
    <w:basedOn w:val="Fuentedeprrafopredeter"/>
    <w:rsid w:val="001B5738"/>
  </w:style>
  <w:style w:type="paragraph" w:styleId="Piedepgina">
    <w:name w:val="footer"/>
    <w:basedOn w:val="Normal"/>
    <w:link w:val="PiedepginaCar"/>
    <w:uiPriority w:val="99"/>
    <w:unhideWhenUsed/>
    <w:rsid w:val="003C38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88F"/>
  </w:style>
  <w:style w:type="character" w:styleId="Nmerodepgina">
    <w:name w:val="page number"/>
    <w:basedOn w:val="Fuentedeprrafopredeter"/>
    <w:uiPriority w:val="99"/>
    <w:semiHidden/>
    <w:unhideWhenUsed/>
    <w:rsid w:val="003C3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40"/>
  </w:style>
  <w:style w:type="paragraph" w:styleId="Ttulo1">
    <w:name w:val="heading 1"/>
    <w:basedOn w:val="Normal"/>
    <w:link w:val="Ttulo1Car"/>
    <w:uiPriority w:val="9"/>
    <w:qFormat/>
    <w:rsid w:val="001B5738"/>
    <w:pPr>
      <w:spacing w:before="100" w:beforeAutospacing="1" w:after="100" w:afterAutospacing="1" w:line="240" w:lineRule="auto"/>
      <w:outlineLvl w:val="0"/>
    </w:pPr>
    <w:rPr>
      <w:rFonts w:ascii="Times" w:eastAsiaTheme="minorEastAsia"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964"/>
    <w:pPr>
      <w:ind w:left="720"/>
      <w:contextualSpacing/>
    </w:pPr>
  </w:style>
  <w:style w:type="character" w:styleId="Hipervnculo">
    <w:name w:val="Hyperlink"/>
    <w:basedOn w:val="Fuentedeprrafopredeter"/>
    <w:uiPriority w:val="99"/>
    <w:unhideWhenUsed/>
    <w:rsid w:val="006374AB"/>
    <w:rPr>
      <w:color w:val="0000FF" w:themeColor="hyperlink"/>
      <w:u w:val="single"/>
    </w:rPr>
  </w:style>
  <w:style w:type="character" w:customStyle="1" w:styleId="Ttulo1Car">
    <w:name w:val="Título 1 Car"/>
    <w:basedOn w:val="Fuentedeprrafopredeter"/>
    <w:link w:val="Ttulo1"/>
    <w:uiPriority w:val="9"/>
    <w:rsid w:val="001B5738"/>
    <w:rPr>
      <w:rFonts w:ascii="Times" w:eastAsiaTheme="minorEastAsia" w:hAnsi="Times"/>
      <w:b/>
      <w:bCs/>
      <w:kern w:val="36"/>
      <w:sz w:val="48"/>
      <w:szCs w:val="48"/>
      <w:lang w:eastAsia="es-ES"/>
    </w:rPr>
  </w:style>
  <w:style w:type="character" w:customStyle="1" w:styleId="apple-converted-space">
    <w:name w:val="apple-converted-space"/>
    <w:basedOn w:val="Fuentedeprrafopredeter"/>
    <w:rsid w:val="001B5738"/>
  </w:style>
  <w:style w:type="paragraph" w:styleId="Piedepgina">
    <w:name w:val="footer"/>
    <w:basedOn w:val="Normal"/>
    <w:link w:val="PiedepginaCar"/>
    <w:uiPriority w:val="99"/>
    <w:unhideWhenUsed/>
    <w:rsid w:val="003C38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88F"/>
  </w:style>
  <w:style w:type="character" w:styleId="Nmerodepgina">
    <w:name w:val="page number"/>
    <w:basedOn w:val="Fuentedeprrafopredeter"/>
    <w:uiPriority w:val="99"/>
    <w:semiHidden/>
    <w:unhideWhenUsed/>
    <w:rsid w:val="003C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7085">
      <w:bodyDiv w:val="1"/>
      <w:marLeft w:val="0"/>
      <w:marRight w:val="0"/>
      <w:marTop w:val="0"/>
      <w:marBottom w:val="0"/>
      <w:divBdr>
        <w:top w:val="none" w:sz="0" w:space="0" w:color="auto"/>
        <w:left w:val="none" w:sz="0" w:space="0" w:color="auto"/>
        <w:bottom w:val="none" w:sz="0" w:space="0" w:color="auto"/>
        <w:right w:val="none" w:sz="0" w:space="0" w:color="auto"/>
      </w:divBdr>
      <w:divsChild>
        <w:div w:id="251400986">
          <w:marLeft w:val="0"/>
          <w:marRight w:val="0"/>
          <w:marTop w:val="0"/>
          <w:marBottom w:val="0"/>
          <w:divBdr>
            <w:top w:val="none" w:sz="0" w:space="0" w:color="auto"/>
            <w:left w:val="none" w:sz="0" w:space="0" w:color="auto"/>
            <w:bottom w:val="none" w:sz="0" w:space="0" w:color="auto"/>
            <w:right w:val="none" w:sz="0" w:space="0" w:color="auto"/>
          </w:divBdr>
        </w:div>
        <w:div w:id="1689327993">
          <w:marLeft w:val="0"/>
          <w:marRight w:val="0"/>
          <w:marTop w:val="0"/>
          <w:marBottom w:val="0"/>
          <w:divBdr>
            <w:top w:val="none" w:sz="0" w:space="0" w:color="auto"/>
            <w:left w:val="none" w:sz="0" w:space="0" w:color="auto"/>
            <w:bottom w:val="none" w:sz="0" w:space="0" w:color="auto"/>
            <w:right w:val="none" w:sz="0" w:space="0" w:color="auto"/>
          </w:divBdr>
        </w:div>
        <w:div w:id="975180273">
          <w:marLeft w:val="0"/>
          <w:marRight w:val="0"/>
          <w:marTop w:val="0"/>
          <w:marBottom w:val="0"/>
          <w:divBdr>
            <w:top w:val="none" w:sz="0" w:space="0" w:color="auto"/>
            <w:left w:val="none" w:sz="0" w:space="0" w:color="auto"/>
            <w:bottom w:val="none" w:sz="0" w:space="0" w:color="auto"/>
            <w:right w:val="none" w:sz="0" w:space="0" w:color="auto"/>
          </w:divBdr>
        </w:div>
        <w:div w:id="1760179781">
          <w:marLeft w:val="0"/>
          <w:marRight w:val="0"/>
          <w:marTop w:val="0"/>
          <w:marBottom w:val="0"/>
          <w:divBdr>
            <w:top w:val="none" w:sz="0" w:space="0" w:color="auto"/>
            <w:left w:val="none" w:sz="0" w:space="0" w:color="auto"/>
            <w:bottom w:val="none" w:sz="0" w:space="0" w:color="auto"/>
            <w:right w:val="none" w:sz="0" w:space="0" w:color="auto"/>
          </w:divBdr>
        </w:div>
        <w:div w:id="22633980">
          <w:marLeft w:val="0"/>
          <w:marRight w:val="0"/>
          <w:marTop w:val="0"/>
          <w:marBottom w:val="0"/>
          <w:divBdr>
            <w:top w:val="none" w:sz="0" w:space="0" w:color="auto"/>
            <w:left w:val="none" w:sz="0" w:space="0" w:color="auto"/>
            <w:bottom w:val="none" w:sz="0" w:space="0" w:color="auto"/>
            <w:right w:val="none" w:sz="0" w:space="0" w:color="auto"/>
          </w:divBdr>
        </w:div>
        <w:div w:id="840778880">
          <w:marLeft w:val="0"/>
          <w:marRight w:val="0"/>
          <w:marTop w:val="0"/>
          <w:marBottom w:val="0"/>
          <w:divBdr>
            <w:top w:val="none" w:sz="0" w:space="0" w:color="auto"/>
            <w:left w:val="none" w:sz="0" w:space="0" w:color="auto"/>
            <w:bottom w:val="none" w:sz="0" w:space="0" w:color="auto"/>
            <w:right w:val="none" w:sz="0" w:space="0" w:color="auto"/>
          </w:divBdr>
        </w:div>
        <w:div w:id="1882739889">
          <w:marLeft w:val="0"/>
          <w:marRight w:val="0"/>
          <w:marTop w:val="0"/>
          <w:marBottom w:val="0"/>
          <w:divBdr>
            <w:top w:val="none" w:sz="0" w:space="0" w:color="auto"/>
            <w:left w:val="none" w:sz="0" w:space="0" w:color="auto"/>
            <w:bottom w:val="none" w:sz="0" w:space="0" w:color="auto"/>
            <w:right w:val="none" w:sz="0" w:space="0" w:color="auto"/>
          </w:divBdr>
        </w:div>
        <w:div w:id="631057637">
          <w:marLeft w:val="0"/>
          <w:marRight w:val="0"/>
          <w:marTop w:val="0"/>
          <w:marBottom w:val="0"/>
          <w:divBdr>
            <w:top w:val="none" w:sz="0" w:space="0" w:color="auto"/>
            <w:left w:val="none" w:sz="0" w:space="0" w:color="auto"/>
            <w:bottom w:val="none" w:sz="0" w:space="0" w:color="auto"/>
            <w:right w:val="none" w:sz="0" w:space="0" w:color="auto"/>
          </w:divBdr>
        </w:div>
        <w:div w:id="1626615496">
          <w:marLeft w:val="0"/>
          <w:marRight w:val="0"/>
          <w:marTop w:val="0"/>
          <w:marBottom w:val="0"/>
          <w:divBdr>
            <w:top w:val="none" w:sz="0" w:space="0" w:color="auto"/>
            <w:left w:val="none" w:sz="0" w:space="0" w:color="auto"/>
            <w:bottom w:val="none" w:sz="0" w:space="0" w:color="auto"/>
            <w:right w:val="none" w:sz="0" w:space="0" w:color="auto"/>
          </w:divBdr>
        </w:div>
        <w:div w:id="909272871">
          <w:marLeft w:val="0"/>
          <w:marRight w:val="0"/>
          <w:marTop w:val="0"/>
          <w:marBottom w:val="0"/>
          <w:divBdr>
            <w:top w:val="none" w:sz="0" w:space="0" w:color="auto"/>
            <w:left w:val="none" w:sz="0" w:space="0" w:color="auto"/>
            <w:bottom w:val="none" w:sz="0" w:space="0" w:color="auto"/>
            <w:right w:val="none" w:sz="0" w:space="0" w:color="auto"/>
          </w:divBdr>
        </w:div>
        <w:div w:id="1775444939">
          <w:marLeft w:val="0"/>
          <w:marRight w:val="0"/>
          <w:marTop w:val="0"/>
          <w:marBottom w:val="0"/>
          <w:divBdr>
            <w:top w:val="none" w:sz="0" w:space="0" w:color="auto"/>
            <w:left w:val="none" w:sz="0" w:space="0" w:color="auto"/>
            <w:bottom w:val="none" w:sz="0" w:space="0" w:color="auto"/>
            <w:right w:val="none" w:sz="0" w:space="0" w:color="auto"/>
          </w:divBdr>
        </w:div>
        <w:div w:id="922419461">
          <w:marLeft w:val="0"/>
          <w:marRight w:val="0"/>
          <w:marTop w:val="0"/>
          <w:marBottom w:val="0"/>
          <w:divBdr>
            <w:top w:val="none" w:sz="0" w:space="0" w:color="auto"/>
            <w:left w:val="none" w:sz="0" w:space="0" w:color="auto"/>
            <w:bottom w:val="none" w:sz="0" w:space="0" w:color="auto"/>
            <w:right w:val="none" w:sz="0" w:space="0" w:color="auto"/>
          </w:divBdr>
        </w:div>
        <w:div w:id="647519705">
          <w:marLeft w:val="0"/>
          <w:marRight w:val="0"/>
          <w:marTop w:val="0"/>
          <w:marBottom w:val="0"/>
          <w:divBdr>
            <w:top w:val="none" w:sz="0" w:space="0" w:color="auto"/>
            <w:left w:val="none" w:sz="0" w:space="0" w:color="auto"/>
            <w:bottom w:val="none" w:sz="0" w:space="0" w:color="auto"/>
            <w:right w:val="none" w:sz="0" w:space="0" w:color="auto"/>
          </w:divBdr>
        </w:div>
        <w:div w:id="39139151">
          <w:marLeft w:val="0"/>
          <w:marRight w:val="0"/>
          <w:marTop w:val="0"/>
          <w:marBottom w:val="0"/>
          <w:divBdr>
            <w:top w:val="none" w:sz="0" w:space="0" w:color="auto"/>
            <w:left w:val="none" w:sz="0" w:space="0" w:color="auto"/>
            <w:bottom w:val="none" w:sz="0" w:space="0" w:color="auto"/>
            <w:right w:val="none" w:sz="0" w:space="0" w:color="auto"/>
          </w:divBdr>
        </w:div>
        <w:div w:id="1750036226">
          <w:marLeft w:val="0"/>
          <w:marRight w:val="0"/>
          <w:marTop w:val="0"/>
          <w:marBottom w:val="0"/>
          <w:divBdr>
            <w:top w:val="none" w:sz="0" w:space="0" w:color="auto"/>
            <w:left w:val="none" w:sz="0" w:space="0" w:color="auto"/>
            <w:bottom w:val="none" w:sz="0" w:space="0" w:color="auto"/>
            <w:right w:val="none" w:sz="0" w:space="0" w:color="auto"/>
          </w:divBdr>
        </w:div>
        <w:div w:id="1316379066">
          <w:marLeft w:val="0"/>
          <w:marRight w:val="0"/>
          <w:marTop w:val="0"/>
          <w:marBottom w:val="0"/>
          <w:divBdr>
            <w:top w:val="none" w:sz="0" w:space="0" w:color="auto"/>
            <w:left w:val="none" w:sz="0" w:space="0" w:color="auto"/>
            <w:bottom w:val="none" w:sz="0" w:space="0" w:color="auto"/>
            <w:right w:val="none" w:sz="0" w:space="0" w:color="auto"/>
          </w:divBdr>
        </w:div>
        <w:div w:id="155917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4902</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LCPB</cp:lastModifiedBy>
  <cp:revision>3</cp:revision>
  <dcterms:created xsi:type="dcterms:W3CDTF">2020-04-26T09:15:00Z</dcterms:created>
  <dcterms:modified xsi:type="dcterms:W3CDTF">2020-04-26T09:16:00Z</dcterms:modified>
</cp:coreProperties>
</file>