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C1D" w:rsidRDefault="00F83C1D" w:rsidP="00F83C1D">
      <w:pPr>
        <w:autoSpaceDE w:val="0"/>
        <w:autoSpaceDN w:val="0"/>
        <w:adjustRightInd w:val="0"/>
        <w:spacing w:after="0" w:line="240" w:lineRule="auto"/>
        <w:jc w:val="both"/>
        <w:rPr>
          <w:rFonts w:cs="Arial"/>
          <w:b/>
          <w:color w:val="002060"/>
          <w:szCs w:val="24"/>
        </w:rPr>
      </w:pPr>
      <w:bookmarkStart w:id="0" w:name="OLE_LINK5"/>
      <w:bookmarkStart w:id="1" w:name="OLE_LINK6"/>
      <w:r w:rsidRPr="00F83C1D">
        <w:rPr>
          <w:rFonts w:cs="Arial"/>
          <w:b/>
          <w:color w:val="002060"/>
          <w:szCs w:val="24"/>
        </w:rPr>
        <w:drawing>
          <wp:anchor distT="0" distB="0" distL="0" distR="0" simplePos="0" relativeHeight="251659264" behindDoc="1" locked="0" layoutInCell="1" allowOverlap="1">
            <wp:simplePos x="0" y="0"/>
            <wp:positionH relativeFrom="page">
              <wp:posOffset>1529798</wp:posOffset>
            </wp:positionH>
            <wp:positionV relativeFrom="page">
              <wp:posOffset>540689</wp:posOffset>
            </wp:positionV>
            <wp:extent cx="1086181" cy="890546"/>
            <wp:effectExtent l="1905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86181" cy="890546"/>
                    </a:xfrm>
                    <a:prstGeom prst="rect">
                      <a:avLst/>
                    </a:prstGeom>
                  </pic:spPr>
                </pic:pic>
              </a:graphicData>
            </a:graphic>
          </wp:anchor>
        </w:drawing>
      </w:r>
    </w:p>
    <w:p w:rsidR="00F83C1D" w:rsidRDefault="00F83C1D" w:rsidP="00F83C1D">
      <w:pPr>
        <w:autoSpaceDE w:val="0"/>
        <w:autoSpaceDN w:val="0"/>
        <w:adjustRightInd w:val="0"/>
        <w:spacing w:after="0" w:line="240" w:lineRule="auto"/>
        <w:jc w:val="both"/>
        <w:rPr>
          <w:rFonts w:cs="Arial"/>
          <w:b/>
          <w:color w:val="002060"/>
          <w:szCs w:val="24"/>
        </w:rPr>
      </w:pPr>
    </w:p>
    <w:p w:rsidR="00F83C1D" w:rsidRDefault="00F83C1D" w:rsidP="00F83C1D">
      <w:pPr>
        <w:autoSpaceDE w:val="0"/>
        <w:autoSpaceDN w:val="0"/>
        <w:adjustRightInd w:val="0"/>
        <w:spacing w:after="0" w:line="240" w:lineRule="auto"/>
        <w:ind w:left="4248"/>
        <w:jc w:val="both"/>
        <w:rPr>
          <w:rFonts w:cs="Arial"/>
          <w:b/>
          <w:color w:val="002060"/>
          <w:szCs w:val="24"/>
        </w:rPr>
      </w:pPr>
      <w:r w:rsidRPr="00F83C1D">
        <w:rPr>
          <w:rFonts w:cs="Arial"/>
          <w:b/>
          <w:color w:val="002060"/>
          <w:szCs w:val="24"/>
        </w:rPr>
        <w:drawing>
          <wp:anchor distT="0" distB="0" distL="114300" distR="114300" simplePos="0" relativeHeight="251661312" behindDoc="0" locked="0" layoutInCell="1" allowOverlap="1">
            <wp:simplePos x="0" y="0"/>
            <wp:positionH relativeFrom="column">
              <wp:posOffset>2750196</wp:posOffset>
            </wp:positionH>
            <wp:positionV relativeFrom="paragraph">
              <wp:posOffset>-474228</wp:posOffset>
            </wp:positionV>
            <wp:extent cx="1679121" cy="829876"/>
            <wp:effectExtent l="19050" t="0" r="0" b="0"/>
            <wp:wrapSquare wrapText="bothSides"/>
            <wp:docPr id="7" name="Imagen 4" descr="Fundación Cermi Mujeres. Ir a l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ndación Cermi Mujeres. Ir a la página de inicio"/>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8940" cy="829310"/>
                    </a:xfrm>
                    <a:prstGeom prst="rect">
                      <a:avLst/>
                    </a:prstGeom>
                    <a:noFill/>
                    <a:ln>
                      <a:noFill/>
                    </a:ln>
                  </pic:spPr>
                </pic:pic>
              </a:graphicData>
            </a:graphic>
          </wp:anchor>
        </w:drawing>
      </w:r>
    </w:p>
    <w:p w:rsidR="00F83C1D" w:rsidRDefault="00F83C1D" w:rsidP="00F83C1D">
      <w:pPr>
        <w:autoSpaceDE w:val="0"/>
        <w:autoSpaceDN w:val="0"/>
        <w:adjustRightInd w:val="0"/>
        <w:spacing w:after="0" w:line="240" w:lineRule="auto"/>
        <w:jc w:val="both"/>
        <w:rPr>
          <w:rFonts w:cs="Arial"/>
          <w:b/>
          <w:color w:val="002060"/>
          <w:szCs w:val="24"/>
        </w:rPr>
      </w:pPr>
    </w:p>
    <w:p w:rsidR="00F83C1D" w:rsidRDefault="00F83C1D" w:rsidP="00F83C1D">
      <w:pPr>
        <w:autoSpaceDE w:val="0"/>
        <w:autoSpaceDN w:val="0"/>
        <w:adjustRightInd w:val="0"/>
        <w:spacing w:after="0" w:line="240" w:lineRule="auto"/>
        <w:jc w:val="both"/>
        <w:rPr>
          <w:rFonts w:cs="Arial"/>
          <w:b/>
          <w:color w:val="002060"/>
          <w:szCs w:val="24"/>
        </w:rPr>
      </w:pPr>
    </w:p>
    <w:p w:rsidR="0087120F" w:rsidRDefault="00F83C1D" w:rsidP="00F83C1D">
      <w:pPr>
        <w:pBdr>
          <w:bottom w:val="single" w:sz="12" w:space="1" w:color="auto"/>
        </w:pBdr>
        <w:autoSpaceDE w:val="0"/>
        <w:autoSpaceDN w:val="0"/>
        <w:adjustRightInd w:val="0"/>
        <w:spacing w:after="0" w:line="240" w:lineRule="auto"/>
        <w:jc w:val="both"/>
        <w:rPr>
          <w:rFonts w:cs="Arial"/>
          <w:b/>
          <w:bCs/>
          <w:color w:val="002060"/>
          <w:szCs w:val="24"/>
          <w:shd w:val="clear" w:color="auto" w:fill="FFFFFF"/>
        </w:rPr>
      </w:pPr>
      <w:r w:rsidRPr="00F83C1D">
        <w:rPr>
          <w:rFonts w:cs="Arial"/>
          <w:b/>
          <w:color w:val="002060"/>
          <w:szCs w:val="24"/>
        </w:rPr>
        <w:t>Documento de contribución del CERMI y la Fundación CERMI Mujeres a la Consulta Pública</w:t>
      </w:r>
      <w:r>
        <w:rPr>
          <w:rFonts w:cs="Arial"/>
          <w:b/>
          <w:color w:val="002060"/>
          <w:szCs w:val="24"/>
        </w:rPr>
        <w:t xml:space="preserve"> sobre una iniciativa</w:t>
      </w:r>
      <w:r w:rsidRPr="00F83C1D">
        <w:rPr>
          <w:rFonts w:cs="Arial"/>
          <w:b/>
          <w:bCs/>
          <w:color w:val="002060"/>
          <w:szCs w:val="24"/>
          <w:shd w:val="clear" w:color="auto" w:fill="FFFFFF"/>
        </w:rPr>
        <w:t xml:space="preserve"> legislativa relativa al refuerzo del principio de igualdad de retribución entre hombres y mujeres mediante la transparencia salarial</w:t>
      </w:r>
    </w:p>
    <w:bookmarkEnd w:id="0"/>
    <w:bookmarkEnd w:id="1"/>
    <w:p w:rsidR="00ED1C24" w:rsidRPr="004B44F3" w:rsidRDefault="00ED1C24" w:rsidP="0087120F">
      <w:pPr>
        <w:jc w:val="both"/>
        <w:rPr>
          <w:rFonts w:ascii="Tahoma" w:hAnsi="Tahoma" w:cs="Arial"/>
          <w:sz w:val="20"/>
          <w:szCs w:val="24"/>
        </w:rPr>
      </w:pPr>
    </w:p>
    <w:p w:rsidR="00C84B4D" w:rsidRPr="00F83C1D" w:rsidRDefault="00F83C1D" w:rsidP="004B44F3">
      <w:pPr>
        <w:jc w:val="both"/>
        <w:rPr>
          <w:rFonts w:cs="Arial"/>
          <w:b/>
          <w:color w:val="002060"/>
          <w:szCs w:val="24"/>
        </w:rPr>
      </w:pPr>
      <w:r w:rsidRPr="00F83C1D">
        <w:rPr>
          <w:rFonts w:cs="Arial"/>
          <w:b/>
          <w:color w:val="002060"/>
          <w:szCs w:val="24"/>
        </w:rPr>
        <w:t>Antecedentes</w:t>
      </w:r>
    </w:p>
    <w:p w:rsidR="00791ABA" w:rsidRPr="00F83C1D" w:rsidRDefault="00ED1C24" w:rsidP="00791ABA">
      <w:pPr>
        <w:jc w:val="both"/>
        <w:rPr>
          <w:rFonts w:cs="Arial"/>
          <w:sz w:val="20"/>
          <w:szCs w:val="24"/>
        </w:rPr>
      </w:pPr>
      <w:r w:rsidRPr="00F83C1D">
        <w:rPr>
          <w:rFonts w:cs="Arial"/>
          <w:sz w:val="20"/>
          <w:szCs w:val="24"/>
        </w:rPr>
        <w:t xml:space="preserve">Desde el </w:t>
      </w:r>
      <w:r w:rsidR="00F83C1D">
        <w:rPr>
          <w:rFonts w:cs="Arial"/>
          <w:sz w:val="20"/>
          <w:szCs w:val="24"/>
        </w:rPr>
        <w:t>CERMI y la Fundación CERMI Mujeres</w:t>
      </w:r>
      <w:r w:rsidRPr="00F83C1D">
        <w:rPr>
          <w:rFonts w:cs="Arial"/>
          <w:sz w:val="20"/>
          <w:szCs w:val="24"/>
        </w:rPr>
        <w:t xml:space="preserve"> acogemos con agrado la consulta pública</w:t>
      </w:r>
      <w:r w:rsidR="00791ABA" w:rsidRPr="00F83C1D">
        <w:rPr>
          <w:rFonts w:cs="Arial"/>
          <w:sz w:val="20"/>
          <w:szCs w:val="24"/>
        </w:rPr>
        <w:t xml:space="preserve"> lanzada por la Comisión Europea sobre una iniciativa europea relativa al refuerzo del principio de igualdad de retribución entre hombres y mujeres mediante la transparencia salarial, una oportunidad  que, confiamos, pueda fortalecer ese principio fundamental también tomando en consideración factores que, como la discapacidad, impactan de forma desproporcionada en las mujeres con discapacidad con respecto a sus iguales masculinos o a las mujeres sin discapacidad.</w:t>
      </w:r>
    </w:p>
    <w:p w:rsidR="00C84B4D" w:rsidRPr="00F83C1D" w:rsidRDefault="00791ABA" w:rsidP="00C84B4D">
      <w:pPr>
        <w:jc w:val="both"/>
        <w:rPr>
          <w:rFonts w:cs="Arial"/>
          <w:sz w:val="20"/>
        </w:rPr>
      </w:pPr>
      <w:r w:rsidRPr="00F83C1D">
        <w:rPr>
          <w:rFonts w:cs="Arial"/>
          <w:sz w:val="20"/>
        </w:rPr>
        <w:t>Las mujeres con discapacidad constituyen el 16% de la población total de mujeres en la Unión Europea, y el 60% de la población total de 100 millones de personas con discapacidad. A pesar de ser más de 60 millones de personas (equivalente a la población de Italia), las mujeres y niñas con discapacidad siguen enfrentándose a la discriminación múltiple e interseccional en todos los ámbitos de la vida, y sufren desventajas socioeconómicas, tasas bajas de empleo y un índice alto de pobreza, entre otros.</w:t>
      </w:r>
    </w:p>
    <w:p w:rsidR="00C84B4D" w:rsidRPr="00F83C1D" w:rsidRDefault="00C84B4D" w:rsidP="00C84B4D">
      <w:pPr>
        <w:jc w:val="both"/>
        <w:rPr>
          <w:rFonts w:cs="Arial"/>
          <w:sz w:val="20"/>
          <w:szCs w:val="24"/>
        </w:rPr>
      </w:pPr>
      <w:r w:rsidRPr="00F83C1D">
        <w:rPr>
          <w:rFonts w:cs="Arial"/>
          <w:sz w:val="20"/>
        </w:rPr>
        <w:t>Además, las mujeres con discapacidad tienen más probabilidades de trabajar en sectores informales de la economía y en empleos sumergidos, una tendencia que se agravará tras la crisis del COVID-19 debido a la falta de empleos más estables y la necesidad de salir de la crisis como sea.</w:t>
      </w:r>
    </w:p>
    <w:p w:rsidR="00C84B4D" w:rsidRPr="00F83C1D" w:rsidRDefault="00C84B4D" w:rsidP="00C84B4D">
      <w:pPr>
        <w:jc w:val="both"/>
        <w:rPr>
          <w:rFonts w:cs="Arial"/>
          <w:sz w:val="20"/>
        </w:rPr>
      </w:pPr>
      <w:r w:rsidRPr="00F83C1D">
        <w:rPr>
          <w:rFonts w:cs="Arial"/>
          <w:sz w:val="20"/>
        </w:rPr>
        <w:t>Esta situación de desventaja y discriminación se debe a una combinación de factores que incluye</w:t>
      </w:r>
      <w:r w:rsidR="00330701" w:rsidRPr="00F83C1D">
        <w:rPr>
          <w:rFonts w:cs="Arial"/>
          <w:sz w:val="20"/>
        </w:rPr>
        <w:t xml:space="preserve">, entre otros, </w:t>
      </w:r>
      <w:r w:rsidRPr="00F83C1D">
        <w:rPr>
          <w:rFonts w:cs="Arial"/>
          <w:sz w:val="20"/>
        </w:rPr>
        <w:t xml:space="preserve">el trabajo no remunerado y la brecha salarial </w:t>
      </w:r>
      <w:r w:rsidR="00330701" w:rsidRPr="00F83C1D">
        <w:rPr>
          <w:rFonts w:cs="Arial"/>
          <w:sz w:val="20"/>
        </w:rPr>
        <w:t xml:space="preserve">entre las mujeres y los hombres, como consecuencia de </w:t>
      </w:r>
      <w:r w:rsidR="00F83C1D">
        <w:rPr>
          <w:rFonts w:cs="Arial"/>
          <w:sz w:val="20"/>
        </w:rPr>
        <w:t xml:space="preserve">la </w:t>
      </w:r>
      <w:r w:rsidRPr="00F83C1D">
        <w:rPr>
          <w:rFonts w:cs="Arial"/>
          <w:sz w:val="20"/>
        </w:rPr>
        <w:t>desigualdad salarial por los estereotipos y sesgos que existen en torno a su sexo y su discapacidad, y por trabajar en estructuras informales o alternativas. Este es el caso, sobre todo, de las mujeres con discapacidad que trabajan en talleres protegidos, con salarios por debajo en muchas ocasiones del salario mínimo.</w:t>
      </w:r>
    </w:p>
    <w:p w:rsidR="00C84B4D" w:rsidRPr="00F83C1D" w:rsidRDefault="00C84B4D" w:rsidP="00C84B4D">
      <w:pPr>
        <w:jc w:val="both"/>
        <w:rPr>
          <w:rFonts w:cs="Arial"/>
          <w:sz w:val="20"/>
        </w:rPr>
      </w:pPr>
      <w:r w:rsidRPr="00F83C1D">
        <w:rPr>
          <w:rFonts w:cs="Arial"/>
          <w:sz w:val="20"/>
        </w:rPr>
        <w:t>Al objeto de abordar estas cuestiones, la Unión Europea debe estudiar la brecha salarial de género que padecen las mujeres con discapacidad y adoptar las medidas necesarias para eliminarla.</w:t>
      </w:r>
    </w:p>
    <w:p w:rsidR="00791ABA" w:rsidRPr="00F83C1D" w:rsidRDefault="00791ABA" w:rsidP="00ED1C24">
      <w:pPr>
        <w:jc w:val="both"/>
        <w:rPr>
          <w:rFonts w:cs="Arial"/>
          <w:sz w:val="20"/>
          <w:szCs w:val="24"/>
        </w:rPr>
      </w:pPr>
    </w:p>
    <w:p w:rsidR="00CD4728" w:rsidRPr="00F83C1D" w:rsidRDefault="008C7AF4" w:rsidP="00330701">
      <w:pPr>
        <w:jc w:val="both"/>
        <w:rPr>
          <w:rFonts w:cs="Arial"/>
          <w:b/>
          <w:color w:val="002060"/>
          <w:sz w:val="20"/>
          <w:szCs w:val="24"/>
        </w:rPr>
      </w:pPr>
      <w:r w:rsidRPr="00F83C1D">
        <w:rPr>
          <w:rFonts w:cs="Arial"/>
          <w:b/>
          <w:color w:val="002060"/>
          <w:sz w:val="20"/>
          <w:szCs w:val="24"/>
        </w:rPr>
        <w:t>PRINCIPALES</w:t>
      </w:r>
      <w:r w:rsidR="00070655" w:rsidRPr="00F83C1D">
        <w:rPr>
          <w:rFonts w:cs="Arial"/>
          <w:b/>
          <w:color w:val="002060"/>
          <w:sz w:val="20"/>
          <w:szCs w:val="24"/>
        </w:rPr>
        <w:t xml:space="preserve"> </w:t>
      </w:r>
      <w:r w:rsidR="00C100D7" w:rsidRPr="00F83C1D">
        <w:rPr>
          <w:rFonts w:cs="Arial"/>
          <w:b/>
          <w:color w:val="002060"/>
          <w:sz w:val="20"/>
          <w:szCs w:val="24"/>
        </w:rPr>
        <w:t xml:space="preserve">DATOS </w:t>
      </w:r>
      <w:r w:rsidR="00070655" w:rsidRPr="00F83C1D">
        <w:rPr>
          <w:rFonts w:cs="Arial"/>
          <w:b/>
          <w:color w:val="002060"/>
          <w:sz w:val="20"/>
          <w:szCs w:val="24"/>
        </w:rPr>
        <w:t xml:space="preserve">RELACIONADOS CON LA </w:t>
      </w:r>
      <w:r w:rsidR="00C100D7" w:rsidRPr="00F83C1D">
        <w:rPr>
          <w:rFonts w:cs="Arial"/>
          <w:b/>
          <w:color w:val="002060"/>
          <w:sz w:val="20"/>
          <w:szCs w:val="24"/>
        </w:rPr>
        <w:t>BRECHA SALARIAL</w:t>
      </w:r>
      <w:r w:rsidR="00C84B4D" w:rsidRPr="00F83C1D">
        <w:rPr>
          <w:rFonts w:cs="Arial"/>
          <w:b/>
          <w:color w:val="002060"/>
          <w:sz w:val="20"/>
          <w:szCs w:val="24"/>
        </w:rPr>
        <w:t xml:space="preserve"> EN ESPAÑA</w:t>
      </w:r>
    </w:p>
    <w:p w:rsidR="00422208" w:rsidRPr="00F83C1D" w:rsidRDefault="0090319F" w:rsidP="0090319F">
      <w:pPr>
        <w:pStyle w:val="Prrafodelista"/>
        <w:numPr>
          <w:ilvl w:val="0"/>
          <w:numId w:val="1"/>
        </w:numPr>
        <w:spacing w:before="0" w:after="160" w:line="259" w:lineRule="auto"/>
        <w:ind w:left="426" w:hanging="426"/>
        <w:jc w:val="both"/>
        <w:rPr>
          <w:rStyle w:val="Textoennegrita"/>
          <w:rFonts w:ascii="Arial" w:hAnsi="Arial" w:cs="Arial"/>
          <w:b w:val="0"/>
          <w:szCs w:val="24"/>
        </w:rPr>
      </w:pPr>
      <w:r w:rsidRPr="00F83C1D">
        <w:rPr>
          <w:rStyle w:val="Textoennegrita"/>
          <w:rFonts w:ascii="Arial" w:hAnsi="Arial" w:cs="Arial"/>
          <w:b w:val="0"/>
          <w:szCs w:val="24"/>
        </w:rPr>
        <w:t>En 2019</w:t>
      </w:r>
      <w:r w:rsidR="00B320E5" w:rsidRPr="00F83C1D">
        <w:rPr>
          <w:rStyle w:val="Textoennegrita"/>
          <w:rFonts w:ascii="Arial" w:hAnsi="Arial" w:cs="Arial"/>
          <w:b w:val="0"/>
          <w:szCs w:val="24"/>
        </w:rPr>
        <w:t xml:space="preserve">, los datos de brecha salarial </w:t>
      </w:r>
      <w:r w:rsidR="00DF5C32" w:rsidRPr="00F83C1D">
        <w:rPr>
          <w:rStyle w:val="Textoennegrita"/>
          <w:rFonts w:ascii="Arial" w:hAnsi="Arial" w:cs="Arial"/>
          <w:b w:val="0"/>
          <w:szCs w:val="24"/>
        </w:rPr>
        <w:t xml:space="preserve">no </w:t>
      </w:r>
      <w:r w:rsidR="00B320E5" w:rsidRPr="00F83C1D">
        <w:rPr>
          <w:rStyle w:val="Textoennegrita"/>
          <w:rFonts w:ascii="Arial" w:hAnsi="Arial" w:cs="Arial"/>
          <w:b w:val="0"/>
          <w:szCs w:val="24"/>
        </w:rPr>
        <w:t>ajustada que</w:t>
      </w:r>
      <w:r w:rsidR="00070655" w:rsidRPr="00F83C1D">
        <w:rPr>
          <w:rStyle w:val="Textoennegrita"/>
          <w:rFonts w:ascii="Arial" w:hAnsi="Arial" w:cs="Arial"/>
          <w:b w:val="0"/>
          <w:szCs w:val="24"/>
        </w:rPr>
        <w:t xml:space="preserve"> </w:t>
      </w:r>
      <w:r w:rsidR="00B320E5" w:rsidRPr="00F83C1D">
        <w:rPr>
          <w:rStyle w:val="Textoennegrita"/>
          <w:rFonts w:ascii="Arial" w:hAnsi="Arial" w:cs="Arial"/>
          <w:b w:val="0"/>
          <w:szCs w:val="24"/>
        </w:rPr>
        <w:t>aporta el INE, son</w:t>
      </w:r>
      <w:r w:rsidR="00422208" w:rsidRPr="00F83C1D">
        <w:rPr>
          <w:rStyle w:val="Textoennegrita"/>
          <w:rFonts w:ascii="Arial" w:hAnsi="Arial" w:cs="Arial"/>
          <w:b w:val="0"/>
          <w:szCs w:val="24"/>
        </w:rPr>
        <w:t>:</w:t>
      </w:r>
    </w:p>
    <w:tbl>
      <w:tblPr>
        <w:tblStyle w:val="Tablaconcuadrcula"/>
        <w:tblW w:w="0" w:type="auto"/>
        <w:tblLook w:val="04A0"/>
      </w:tblPr>
      <w:tblGrid>
        <w:gridCol w:w="2831"/>
        <w:gridCol w:w="2831"/>
        <w:gridCol w:w="2832"/>
      </w:tblGrid>
      <w:tr w:rsidR="00422208" w:rsidRPr="00F83C1D" w:rsidTr="00422208">
        <w:tc>
          <w:tcPr>
            <w:tcW w:w="2831" w:type="dxa"/>
          </w:tcPr>
          <w:p w:rsidR="00422208" w:rsidRPr="00F83C1D" w:rsidRDefault="00422208" w:rsidP="00422208">
            <w:pPr>
              <w:jc w:val="center"/>
              <w:rPr>
                <w:rStyle w:val="Textoennegrita"/>
                <w:rFonts w:cs="Arial"/>
                <w:b w:val="0"/>
                <w:sz w:val="20"/>
                <w:szCs w:val="24"/>
              </w:rPr>
            </w:pPr>
          </w:p>
        </w:tc>
        <w:tc>
          <w:tcPr>
            <w:tcW w:w="2831" w:type="dxa"/>
          </w:tcPr>
          <w:p w:rsidR="00422208" w:rsidRPr="00F83C1D" w:rsidRDefault="00422208" w:rsidP="00422208">
            <w:pPr>
              <w:jc w:val="center"/>
              <w:rPr>
                <w:rStyle w:val="Textoennegrita"/>
                <w:rFonts w:cs="Arial"/>
                <w:b w:val="0"/>
                <w:sz w:val="20"/>
                <w:szCs w:val="24"/>
              </w:rPr>
            </w:pPr>
            <w:r w:rsidRPr="00F83C1D">
              <w:rPr>
                <w:rStyle w:val="Textoennegrita"/>
                <w:rFonts w:cs="Arial"/>
                <w:b w:val="0"/>
                <w:sz w:val="20"/>
                <w:szCs w:val="24"/>
              </w:rPr>
              <w:t>Hombres</w:t>
            </w:r>
          </w:p>
        </w:tc>
        <w:tc>
          <w:tcPr>
            <w:tcW w:w="2832" w:type="dxa"/>
          </w:tcPr>
          <w:p w:rsidR="00422208" w:rsidRPr="00F83C1D" w:rsidRDefault="00422208" w:rsidP="00422208">
            <w:pPr>
              <w:jc w:val="center"/>
              <w:rPr>
                <w:rStyle w:val="Textoennegrita"/>
                <w:rFonts w:cs="Arial"/>
                <w:b w:val="0"/>
                <w:sz w:val="20"/>
                <w:szCs w:val="24"/>
              </w:rPr>
            </w:pPr>
            <w:r w:rsidRPr="00F83C1D">
              <w:rPr>
                <w:rStyle w:val="Textoennegrita"/>
                <w:rFonts w:cs="Arial"/>
                <w:b w:val="0"/>
                <w:sz w:val="20"/>
                <w:szCs w:val="24"/>
              </w:rPr>
              <w:t>Mujeres</w:t>
            </w:r>
          </w:p>
        </w:tc>
      </w:tr>
      <w:tr w:rsidR="00422208" w:rsidRPr="00F83C1D" w:rsidTr="00422208">
        <w:tc>
          <w:tcPr>
            <w:tcW w:w="2831" w:type="dxa"/>
          </w:tcPr>
          <w:p w:rsidR="00422208" w:rsidRPr="00F83C1D" w:rsidRDefault="00422208" w:rsidP="00422208">
            <w:pPr>
              <w:jc w:val="both"/>
              <w:rPr>
                <w:rStyle w:val="Textoennegrita"/>
                <w:rFonts w:cs="Arial"/>
                <w:b w:val="0"/>
                <w:sz w:val="20"/>
                <w:szCs w:val="24"/>
              </w:rPr>
            </w:pPr>
            <w:r w:rsidRPr="00F83C1D">
              <w:rPr>
                <w:rStyle w:val="Textoennegrita"/>
                <w:rFonts w:cs="Arial"/>
                <w:b w:val="0"/>
                <w:sz w:val="20"/>
                <w:szCs w:val="24"/>
              </w:rPr>
              <w:t>Tasa de Actividad</w:t>
            </w:r>
          </w:p>
        </w:tc>
        <w:tc>
          <w:tcPr>
            <w:tcW w:w="2831" w:type="dxa"/>
          </w:tcPr>
          <w:p w:rsidR="00422208" w:rsidRPr="00F83C1D" w:rsidRDefault="00070655" w:rsidP="00422208">
            <w:pPr>
              <w:jc w:val="center"/>
              <w:rPr>
                <w:rStyle w:val="Textoennegrita"/>
                <w:rFonts w:cs="Arial"/>
                <w:b w:val="0"/>
                <w:sz w:val="20"/>
                <w:szCs w:val="24"/>
              </w:rPr>
            </w:pPr>
            <w:r w:rsidRPr="00F83C1D">
              <w:rPr>
                <w:rStyle w:val="Textoennegrita"/>
                <w:rFonts w:cs="Arial"/>
                <w:b w:val="0"/>
                <w:sz w:val="20"/>
                <w:szCs w:val="24"/>
              </w:rPr>
              <w:t>80,07%</w:t>
            </w:r>
          </w:p>
        </w:tc>
        <w:tc>
          <w:tcPr>
            <w:tcW w:w="2832" w:type="dxa"/>
          </w:tcPr>
          <w:p w:rsidR="00422208" w:rsidRPr="00F83C1D" w:rsidRDefault="00070655" w:rsidP="00422208">
            <w:pPr>
              <w:jc w:val="center"/>
              <w:rPr>
                <w:rStyle w:val="Textoennegrita"/>
                <w:rFonts w:cs="Arial"/>
                <w:b w:val="0"/>
                <w:sz w:val="20"/>
                <w:szCs w:val="24"/>
              </w:rPr>
            </w:pPr>
            <w:r w:rsidRPr="00F83C1D">
              <w:rPr>
                <w:rStyle w:val="Textoennegrita"/>
                <w:rFonts w:cs="Arial"/>
                <w:b w:val="0"/>
                <w:sz w:val="20"/>
                <w:szCs w:val="24"/>
              </w:rPr>
              <w:t>70,05%</w:t>
            </w:r>
          </w:p>
        </w:tc>
      </w:tr>
      <w:tr w:rsidR="00422208" w:rsidRPr="00F83C1D" w:rsidTr="00422208">
        <w:tc>
          <w:tcPr>
            <w:tcW w:w="2831" w:type="dxa"/>
          </w:tcPr>
          <w:p w:rsidR="00422208" w:rsidRPr="00F83C1D" w:rsidRDefault="00422208" w:rsidP="00422208">
            <w:pPr>
              <w:jc w:val="both"/>
              <w:rPr>
                <w:rStyle w:val="Textoennegrita"/>
                <w:rFonts w:cs="Arial"/>
                <w:b w:val="0"/>
                <w:sz w:val="20"/>
                <w:szCs w:val="24"/>
              </w:rPr>
            </w:pPr>
            <w:r w:rsidRPr="00F83C1D">
              <w:rPr>
                <w:rStyle w:val="Textoennegrita"/>
                <w:rFonts w:cs="Arial"/>
                <w:b w:val="0"/>
                <w:sz w:val="20"/>
                <w:szCs w:val="24"/>
              </w:rPr>
              <w:t>Tasa de Ocupación</w:t>
            </w:r>
          </w:p>
        </w:tc>
        <w:tc>
          <w:tcPr>
            <w:tcW w:w="2831" w:type="dxa"/>
          </w:tcPr>
          <w:p w:rsidR="00422208" w:rsidRPr="00F83C1D" w:rsidRDefault="00422208" w:rsidP="00422208">
            <w:pPr>
              <w:jc w:val="center"/>
              <w:rPr>
                <w:rStyle w:val="Textoennegrita"/>
                <w:rFonts w:cs="Arial"/>
                <w:b w:val="0"/>
                <w:sz w:val="20"/>
                <w:szCs w:val="24"/>
              </w:rPr>
            </w:pPr>
            <w:r w:rsidRPr="00F83C1D">
              <w:rPr>
                <w:rStyle w:val="Textoennegrita"/>
                <w:rFonts w:cs="Arial"/>
                <w:b w:val="0"/>
                <w:sz w:val="20"/>
                <w:szCs w:val="24"/>
              </w:rPr>
              <w:t>70,26%</w:t>
            </w:r>
          </w:p>
        </w:tc>
        <w:tc>
          <w:tcPr>
            <w:tcW w:w="2832" w:type="dxa"/>
          </w:tcPr>
          <w:p w:rsidR="00422208" w:rsidRPr="00F83C1D" w:rsidRDefault="00422208" w:rsidP="00422208">
            <w:pPr>
              <w:jc w:val="center"/>
              <w:rPr>
                <w:rStyle w:val="Textoennegrita"/>
                <w:rFonts w:cs="Arial"/>
                <w:b w:val="0"/>
                <w:sz w:val="20"/>
                <w:szCs w:val="24"/>
              </w:rPr>
            </w:pPr>
            <w:r w:rsidRPr="00F83C1D">
              <w:rPr>
                <w:rStyle w:val="Textoennegrita"/>
                <w:rFonts w:cs="Arial"/>
                <w:b w:val="0"/>
                <w:sz w:val="20"/>
                <w:szCs w:val="24"/>
              </w:rPr>
              <w:t>58,82%</w:t>
            </w:r>
          </w:p>
        </w:tc>
      </w:tr>
      <w:tr w:rsidR="00422208" w:rsidRPr="00F83C1D" w:rsidTr="00422208">
        <w:tc>
          <w:tcPr>
            <w:tcW w:w="2831" w:type="dxa"/>
          </w:tcPr>
          <w:p w:rsidR="00422208" w:rsidRPr="00F83C1D" w:rsidRDefault="00422208" w:rsidP="00422208">
            <w:pPr>
              <w:jc w:val="both"/>
              <w:rPr>
                <w:rStyle w:val="Textoennegrita"/>
                <w:rFonts w:cs="Arial"/>
                <w:b w:val="0"/>
                <w:sz w:val="20"/>
                <w:szCs w:val="24"/>
              </w:rPr>
            </w:pPr>
            <w:r w:rsidRPr="00F83C1D">
              <w:rPr>
                <w:rStyle w:val="Textoennegrita"/>
                <w:rFonts w:cs="Arial"/>
                <w:b w:val="0"/>
                <w:sz w:val="20"/>
                <w:szCs w:val="24"/>
              </w:rPr>
              <w:t>Tasa de Paro</w:t>
            </w:r>
          </w:p>
        </w:tc>
        <w:tc>
          <w:tcPr>
            <w:tcW w:w="2831" w:type="dxa"/>
          </w:tcPr>
          <w:p w:rsidR="00422208" w:rsidRPr="00F83C1D" w:rsidRDefault="00422208" w:rsidP="00422208">
            <w:pPr>
              <w:jc w:val="center"/>
              <w:rPr>
                <w:rStyle w:val="Textoennegrita"/>
                <w:rFonts w:cs="Arial"/>
                <w:b w:val="0"/>
                <w:sz w:val="20"/>
                <w:szCs w:val="24"/>
              </w:rPr>
            </w:pPr>
            <w:r w:rsidRPr="00F83C1D">
              <w:rPr>
                <w:rStyle w:val="Textoennegrita"/>
                <w:rFonts w:cs="Arial"/>
                <w:b w:val="0"/>
                <w:sz w:val="20"/>
                <w:szCs w:val="24"/>
              </w:rPr>
              <w:t>12,25%</w:t>
            </w:r>
          </w:p>
        </w:tc>
        <w:tc>
          <w:tcPr>
            <w:tcW w:w="2832" w:type="dxa"/>
          </w:tcPr>
          <w:p w:rsidR="00422208" w:rsidRPr="00F83C1D" w:rsidRDefault="00422208" w:rsidP="00422208">
            <w:pPr>
              <w:jc w:val="center"/>
              <w:rPr>
                <w:rStyle w:val="Textoennegrita"/>
                <w:rFonts w:cs="Arial"/>
                <w:b w:val="0"/>
                <w:sz w:val="20"/>
                <w:szCs w:val="24"/>
              </w:rPr>
            </w:pPr>
            <w:r w:rsidRPr="00F83C1D">
              <w:rPr>
                <w:rStyle w:val="Textoennegrita"/>
                <w:rFonts w:cs="Arial"/>
                <w:b w:val="0"/>
                <w:sz w:val="20"/>
                <w:szCs w:val="24"/>
              </w:rPr>
              <w:t>16,03%</w:t>
            </w:r>
          </w:p>
        </w:tc>
      </w:tr>
    </w:tbl>
    <w:p w:rsidR="0090319F" w:rsidRPr="00F83C1D" w:rsidRDefault="0090319F" w:rsidP="00422208">
      <w:pPr>
        <w:pStyle w:val="Prrafodelista"/>
        <w:spacing w:before="0" w:after="160" w:line="259" w:lineRule="auto"/>
        <w:ind w:left="1080"/>
        <w:jc w:val="both"/>
        <w:rPr>
          <w:rStyle w:val="Textoennegrita"/>
          <w:rFonts w:ascii="Arial" w:hAnsi="Arial" w:cs="Arial"/>
          <w:b w:val="0"/>
          <w:szCs w:val="24"/>
        </w:rPr>
      </w:pPr>
    </w:p>
    <w:p w:rsidR="00C7102B" w:rsidRPr="00F83C1D" w:rsidRDefault="00C7102B" w:rsidP="0090319F">
      <w:pPr>
        <w:pStyle w:val="Prrafodelista"/>
        <w:numPr>
          <w:ilvl w:val="0"/>
          <w:numId w:val="1"/>
        </w:numPr>
        <w:spacing w:before="0" w:after="160" w:line="259" w:lineRule="auto"/>
        <w:ind w:left="426" w:hanging="426"/>
        <w:jc w:val="both"/>
        <w:rPr>
          <w:rStyle w:val="Textoennegrita"/>
          <w:rFonts w:ascii="Arial" w:hAnsi="Arial" w:cs="Arial"/>
          <w:b w:val="0"/>
          <w:szCs w:val="24"/>
        </w:rPr>
      </w:pPr>
      <w:r w:rsidRPr="00F83C1D">
        <w:rPr>
          <w:rStyle w:val="Textoennegrita"/>
          <w:rFonts w:ascii="Arial" w:hAnsi="Arial" w:cs="Arial"/>
          <w:b w:val="0"/>
          <w:szCs w:val="24"/>
        </w:rPr>
        <w:t>En 2018 contamos con datos</w:t>
      </w:r>
      <w:r w:rsidR="00B320E5" w:rsidRPr="00F83C1D">
        <w:rPr>
          <w:rStyle w:val="Textoennegrita"/>
          <w:rFonts w:ascii="Arial" w:hAnsi="Arial" w:cs="Arial"/>
          <w:b w:val="0"/>
          <w:szCs w:val="24"/>
        </w:rPr>
        <w:t xml:space="preserve"> del INE</w:t>
      </w:r>
      <w:r w:rsidR="00070655" w:rsidRPr="00F83C1D">
        <w:rPr>
          <w:rStyle w:val="Textoennegrita"/>
          <w:rFonts w:ascii="Arial" w:hAnsi="Arial" w:cs="Arial"/>
          <w:b w:val="0"/>
          <w:szCs w:val="24"/>
        </w:rPr>
        <w:t xml:space="preserve"> que </w:t>
      </w:r>
      <w:r w:rsidR="00B320E5" w:rsidRPr="00F83C1D">
        <w:rPr>
          <w:rStyle w:val="Textoennegrita"/>
          <w:rFonts w:ascii="Arial" w:hAnsi="Arial" w:cs="Arial"/>
          <w:b w:val="0"/>
          <w:szCs w:val="24"/>
        </w:rPr>
        <w:t>permiten</w:t>
      </w:r>
      <w:r w:rsidRPr="00F83C1D">
        <w:rPr>
          <w:rStyle w:val="Textoennegrita"/>
          <w:rFonts w:ascii="Arial" w:hAnsi="Arial" w:cs="Arial"/>
          <w:b w:val="0"/>
          <w:szCs w:val="24"/>
        </w:rPr>
        <w:t xml:space="preserve"> comparar las Tasas entre personas con discapacidad y personas sin discapacidad:</w:t>
      </w:r>
    </w:p>
    <w:tbl>
      <w:tblPr>
        <w:tblStyle w:val="Tablaconcuadrcula"/>
        <w:tblW w:w="0" w:type="auto"/>
        <w:tblLook w:val="04A0"/>
      </w:tblPr>
      <w:tblGrid>
        <w:gridCol w:w="2831"/>
        <w:gridCol w:w="2831"/>
        <w:gridCol w:w="2832"/>
      </w:tblGrid>
      <w:tr w:rsidR="00151306" w:rsidRPr="00F83C1D" w:rsidTr="00EC35DB">
        <w:tc>
          <w:tcPr>
            <w:tcW w:w="2831" w:type="dxa"/>
          </w:tcPr>
          <w:p w:rsidR="00151306" w:rsidRPr="00F83C1D" w:rsidRDefault="00151306" w:rsidP="00EC35DB">
            <w:pPr>
              <w:jc w:val="center"/>
              <w:rPr>
                <w:rStyle w:val="Textoennegrita"/>
                <w:rFonts w:cs="Arial"/>
                <w:b w:val="0"/>
                <w:sz w:val="20"/>
                <w:szCs w:val="24"/>
              </w:rPr>
            </w:pPr>
          </w:p>
        </w:tc>
        <w:tc>
          <w:tcPr>
            <w:tcW w:w="2831" w:type="dxa"/>
          </w:tcPr>
          <w:p w:rsidR="00151306" w:rsidRPr="00F83C1D" w:rsidRDefault="004A4946" w:rsidP="00EC35DB">
            <w:pPr>
              <w:jc w:val="center"/>
              <w:rPr>
                <w:rStyle w:val="Textoennegrita"/>
                <w:rFonts w:cs="Arial"/>
                <w:b w:val="0"/>
                <w:sz w:val="20"/>
                <w:szCs w:val="24"/>
              </w:rPr>
            </w:pPr>
            <w:r w:rsidRPr="00F83C1D">
              <w:rPr>
                <w:rStyle w:val="Textoennegrita"/>
                <w:rFonts w:cs="Arial"/>
                <w:b w:val="0"/>
                <w:sz w:val="20"/>
                <w:szCs w:val="24"/>
              </w:rPr>
              <w:t>Con Discapacidad</w:t>
            </w:r>
          </w:p>
        </w:tc>
        <w:tc>
          <w:tcPr>
            <w:tcW w:w="2832" w:type="dxa"/>
          </w:tcPr>
          <w:p w:rsidR="00151306" w:rsidRPr="00F83C1D" w:rsidRDefault="004A4946" w:rsidP="00EC35DB">
            <w:pPr>
              <w:jc w:val="center"/>
              <w:rPr>
                <w:rStyle w:val="Textoennegrita"/>
                <w:rFonts w:cs="Arial"/>
                <w:b w:val="0"/>
                <w:sz w:val="20"/>
                <w:szCs w:val="24"/>
              </w:rPr>
            </w:pPr>
            <w:r w:rsidRPr="00F83C1D">
              <w:rPr>
                <w:rStyle w:val="Textoennegrita"/>
                <w:rFonts w:cs="Arial"/>
                <w:b w:val="0"/>
                <w:sz w:val="20"/>
                <w:szCs w:val="24"/>
              </w:rPr>
              <w:t>Sin Discapacidad</w:t>
            </w:r>
          </w:p>
        </w:tc>
      </w:tr>
      <w:tr w:rsidR="00151306" w:rsidRPr="00F83C1D" w:rsidTr="00EC35DB">
        <w:tc>
          <w:tcPr>
            <w:tcW w:w="2831" w:type="dxa"/>
          </w:tcPr>
          <w:p w:rsidR="00151306" w:rsidRPr="00F83C1D" w:rsidRDefault="00151306" w:rsidP="00EC35DB">
            <w:pPr>
              <w:jc w:val="both"/>
              <w:rPr>
                <w:rStyle w:val="Textoennegrita"/>
                <w:rFonts w:cs="Arial"/>
                <w:b w:val="0"/>
                <w:sz w:val="20"/>
                <w:szCs w:val="24"/>
              </w:rPr>
            </w:pPr>
            <w:r w:rsidRPr="00F83C1D">
              <w:rPr>
                <w:rStyle w:val="Textoennegrita"/>
                <w:rFonts w:cs="Arial"/>
                <w:b w:val="0"/>
                <w:sz w:val="20"/>
                <w:szCs w:val="24"/>
              </w:rPr>
              <w:t>Tasa de Actividad</w:t>
            </w:r>
          </w:p>
        </w:tc>
        <w:tc>
          <w:tcPr>
            <w:tcW w:w="2831" w:type="dxa"/>
          </w:tcPr>
          <w:p w:rsidR="00151306" w:rsidRPr="00F83C1D" w:rsidRDefault="004A4946" w:rsidP="00EC35DB">
            <w:pPr>
              <w:jc w:val="center"/>
              <w:rPr>
                <w:rStyle w:val="Textoennegrita"/>
                <w:rFonts w:cs="Arial"/>
                <w:b w:val="0"/>
                <w:sz w:val="20"/>
                <w:szCs w:val="24"/>
              </w:rPr>
            </w:pPr>
            <w:r w:rsidRPr="00F83C1D">
              <w:rPr>
                <w:rStyle w:val="Textoennegrita"/>
                <w:rFonts w:cs="Arial"/>
                <w:b w:val="0"/>
                <w:sz w:val="20"/>
                <w:szCs w:val="24"/>
              </w:rPr>
              <w:t>34,5</w:t>
            </w:r>
            <w:r w:rsidR="00070655" w:rsidRPr="00F83C1D">
              <w:rPr>
                <w:rStyle w:val="Textoennegrita"/>
                <w:rFonts w:cs="Arial"/>
                <w:b w:val="0"/>
                <w:sz w:val="20"/>
                <w:szCs w:val="24"/>
              </w:rPr>
              <w:t>%</w:t>
            </w:r>
          </w:p>
        </w:tc>
        <w:tc>
          <w:tcPr>
            <w:tcW w:w="2832" w:type="dxa"/>
          </w:tcPr>
          <w:p w:rsidR="00151306" w:rsidRPr="00F83C1D" w:rsidRDefault="004A4946" w:rsidP="00EC35DB">
            <w:pPr>
              <w:jc w:val="center"/>
              <w:rPr>
                <w:rStyle w:val="Textoennegrita"/>
                <w:rFonts w:cs="Arial"/>
                <w:b w:val="0"/>
                <w:sz w:val="20"/>
                <w:szCs w:val="24"/>
              </w:rPr>
            </w:pPr>
            <w:r w:rsidRPr="00F83C1D">
              <w:rPr>
                <w:rStyle w:val="Textoennegrita"/>
                <w:rFonts w:cs="Arial"/>
                <w:b w:val="0"/>
                <w:sz w:val="20"/>
                <w:szCs w:val="24"/>
              </w:rPr>
              <w:t>77,6</w:t>
            </w:r>
            <w:r w:rsidR="00070655" w:rsidRPr="00F83C1D">
              <w:rPr>
                <w:rStyle w:val="Textoennegrita"/>
                <w:rFonts w:cs="Arial"/>
                <w:b w:val="0"/>
                <w:sz w:val="20"/>
                <w:szCs w:val="24"/>
              </w:rPr>
              <w:t>%</w:t>
            </w:r>
          </w:p>
        </w:tc>
      </w:tr>
      <w:tr w:rsidR="00151306" w:rsidRPr="00F83C1D" w:rsidTr="00EC35DB">
        <w:tc>
          <w:tcPr>
            <w:tcW w:w="2831" w:type="dxa"/>
          </w:tcPr>
          <w:p w:rsidR="00151306" w:rsidRPr="00F83C1D" w:rsidRDefault="00151306" w:rsidP="00EC35DB">
            <w:pPr>
              <w:jc w:val="both"/>
              <w:rPr>
                <w:rStyle w:val="Textoennegrita"/>
                <w:rFonts w:cs="Arial"/>
                <w:b w:val="0"/>
                <w:sz w:val="20"/>
                <w:szCs w:val="24"/>
              </w:rPr>
            </w:pPr>
            <w:r w:rsidRPr="00F83C1D">
              <w:rPr>
                <w:rStyle w:val="Textoennegrita"/>
                <w:rFonts w:cs="Arial"/>
                <w:b w:val="0"/>
                <w:sz w:val="20"/>
                <w:szCs w:val="24"/>
              </w:rPr>
              <w:t>Tasa de Ocupación</w:t>
            </w:r>
          </w:p>
        </w:tc>
        <w:tc>
          <w:tcPr>
            <w:tcW w:w="2831" w:type="dxa"/>
          </w:tcPr>
          <w:p w:rsidR="00151306" w:rsidRPr="00F83C1D" w:rsidRDefault="004A4946" w:rsidP="00EC35DB">
            <w:pPr>
              <w:jc w:val="center"/>
              <w:rPr>
                <w:rStyle w:val="Textoennegrita"/>
                <w:rFonts w:cs="Arial"/>
                <w:b w:val="0"/>
                <w:sz w:val="20"/>
                <w:szCs w:val="24"/>
              </w:rPr>
            </w:pPr>
            <w:r w:rsidRPr="00F83C1D">
              <w:rPr>
                <w:rStyle w:val="Textoennegrita"/>
                <w:rFonts w:cs="Arial"/>
                <w:b w:val="0"/>
                <w:sz w:val="20"/>
                <w:szCs w:val="24"/>
              </w:rPr>
              <w:t>25,5</w:t>
            </w:r>
            <w:r w:rsidR="00070655" w:rsidRPr="00F83C1D">
              <w:rPr>
                <w:rStyle w:val="Textoennegrita"/>
                <w:rFonts w:cs="Arial"/>
                <w:b w:val="0"/>
                <w:sz w:val="20"/>
                <w:szCs w:val="24"/>
              </w:rPr>
              <w:t>%</w:t>
            </w:r>
          </w:p>
        </w:tc>
        <w:tc>
          <w:tcPr>
            <w:tcW w:w="2832" w:type="dxa"/>
          </w:tcPr>
          <w:p w:rsidR="00151306" w:rsidRPr="00F83C1D" w:rsidRDefault="004A4946" w:rsidP="00EC35DB">
            <w:pPr>
              <w:jc w:val="center"/>
              <w:rPr>
                <w:rStyle w:val="Textoennegrita"/>
                <w:rFonts w:cs="Arial"/>
                <w:b w:val="0"/>
                <w:sz w:val="20"/>
                <w:szCs w:val="24"/>
              </w:rPr>
            </w:pPr>
            <w:r w:rsidRPr="00F83C1D">
              <w:rPr>
                <w:rStyle w:val="Textoennegrita"/>
                <w:rFonts w:cs="Arial"/>
                <w:b w:val="0"/>
                <w:sz w:val="20"/>
                <w:szCs w:val="24"/>
              </w:rPr>
              <w:t>65,9</w:t>
            </w:r>
            <w:r w:rsidR="00070655" w:rsidRPr="00F83C1D">
              <w:rPr>
                <w:rStyle w:val="Textoennegrita"/>
                <w:rFonts w:cs="Arial"/>
                <w:b w:val="0"/>
                <w:sz w:val="20"/>
                <w:szCs w:val="24"/>
              </w:rPr>
              <w:t>%</w:t>
            </w:r>
          </w:p>
        </w:tc>
      </w:tr>
      <w:tr w:rsidR="00151306" w:rsidRPr="00F83C1D" w:rsidTr="00EC35DB">
        <w:tc>
          <w:tcPr>
            <w:tcW w:w="2831" w:type="dxa"/>
          </w:tcPr>
          <w:p w:rsidR="00151306" w:rsidRPr="00F83C1D" w:rsidRDefault="00151306" w:rsidP="00EC35DB">
            <w:pPr>
              <w:jc w:val="both"/>
              <w:rPr>
                <w:rStyle w:val="Textoennegrita"/>
                <w:rFonts w:cs="Arial"/>
                <w:b w:val="0"/>
                <w:sz w:val="20"/>
                <w:szCs w:val="24"/>
              </w:rPr>
            </w:pPr>
            <w:r w:rsidRPr="00F83C1D">
              <w:rPr>
                <w:rStyle w:val="Textoennegrita"/>
                <w:rFonts w:cs="Arial"/>
                <w:b w:val="0"/>
                <w:sz w:val="20"/>
                <w:szCs w:val="24"/>
              </w:rPr>
              <w:t>Tasa de Paro</w:t>
            </w:r>
          </w:p>
        </w:tc>
        <w:tc>
          <w:tcPr>
            <w:tcW w:w="2831" w:type="dxa"/>
          </w:tcPr>
          <w:p w:rsidR="00151306" w:rsidRPr="00F83C1D" w:rsidRDefault="004A4946" w:rsidP="00EC35DB">
            <w:pPr>
              <w:jc w:val="center"/>
              <w:rPr>
                <w:rStyle w:val="Textoennegrita"/>
                <w:rFonts w:cs="Arial"/>
                <w:b w:val="0"/>
                <w:sz w:val="20"/>
                <w:szCs w:val="24"/>
              </w:rPr>
            </w:pPr>
            <w:r w:rsidRPr="00F83C1D">
              <w:rPr>
                <w:rStyle w:val="Textoennegrita"/>
                <w:rFonts w:cs="Arial"/>
                <w:b w:val="0"/>
                <w:sz w:val="20"/>
                <w:szCs w:val="24"/>
              </w:rPr>
              <w:t>25,2</w:t>
            </w:r>
            <w:r w:rsidR="00070655" w:rsidRPr="00F83C1D">
              <w:rPr>
                <w:rStyle w:val="Textoennegrita"/>
                <w:rFonts w:cs="Arial"/>
                <w:b w:val="0"/>
                <w:sz w:val="20"/>
                <w:szCs w:val="24"/>
              </w:rPr>
              <w:t>%</w:t>
            </w:r>
          </w:p>
        </w:tc>
        <w:tc>
          <w:tcPr>
            <w:tcW w:w="2832" w:type="dxa"/>
          </w:tcPr>
          <w:p w:rsidR="00151306" w:rsidRPr="00F83C1D" w:rsidRDefault="004A4946" w:rsidP="00EC35DB">
            <w:pPr>
              <w:jc w:val="center"/>
              <w:rPr>
                <w:rStyle w:val="Textoennegrita"/>
                <w:rFonts w:cs="Arial"/>
                <w:b w:val="0"/>
                <w:sz w:val="20"/>
                <w:szCs w:val="24"/>
              </w:rPr>
            </w:pPr>
            <w:r w:rsidRPr="00F83C1D">
              <w:rPr>
                <w:rStyle w:val="Textoennegrita"/>
                <w:rFonts w:cs="Arial"/>
                <w:b w:val="0"/>
                <w:sz w:val="20"/>
                <w:szCs w:val="24"/>
              </w:rPr>
              <w:t>15,1</w:t>
            </w:r>
            <w:r w:rsidR="00070655" w:rsidRPr="00F83C1D">
              <w:rPr>
                <w:rStyle w:val="Textoennegrita"/>
                <w:rFonts w:cs="Arial"/>
                <w:b w:val="0"/>
                <w:sz w:val="20"/>
                <w:szCs w:val="24"/>
              </w:rPr>
              <w:t>%</w:t>
            </w:r>
          </w:p>
        </w:tc>
      </w:tr>
    </w:tbl>
    <w:p w:rsidR="00151306" w:rsidRPr="00F83C1D" w:rsidRDefault="00151306" w:rsidP="00151306">
      <w:pPr>
        <w:jc w:val="both"/>
        <w:rPr>
          <w:rStyle w:val="Textoennegrita"/>
          <w:rFonts w:cs="Arial"/>
          <w:b w:val="0"/>
          <w:sz w:val="20"/>
          <w:szCs w:val="24"/>
        </w:rPr>
      </w:pPr>
    </w:p>
    <w:p w:rsidR="00151306" w:rsidRPr="00F83C1D" w:rsidRDefault="00151306" w:rsidP="00151306">
      <w:pPr>
        <w:jc w:val="both"/>
        <w:rPr>
          <w:rStyle w:val="Textoennegrita"/>
          <w:rFonts w:cs="Arial"/>
          <w:b w:val="0"/>
          <w:sz w:val="20"/>
          <w:szCs w:val="24"/>
        </w:rPr>
      </w:pPr>
      <w:r w:rsidRPr="00F83C1D">
        <w:rPr>
          <w:rStyle w:val="Textoennegrita"/>
          <w:rFonts w:cs="Arial"/>
          <w:b w:val="0"/>
          <w:sz w:val="20"/>
          <w:szCs w:val="24"/>
        </w:rPr>
        <w:t>Además</w:t>
      </w:r>
      <w:r w:rsidR="00070655" w:rsidRPr="00F83C1D">
        <w:rPr>
          <w:rStyle w:val="Textoennegrita"/>
          <w:rFonts w:cs="Arial"/>
          <w:b w:val="0"/>
          <w:sz w:val="20"/>
          <w:szCs w:val="24"/>
        </w:rPr>
        <w:t xml:space="preserve">, estos datos se pueden </w:t>
      </w:r>
      <w:r w:rsidRPr="00F83C1D">
        <w:rPr>
          <w:rStyle w:val="Textoennegrita"/>
          <w:rFonts w:cs="Arial"/>
          <w:b w:val="0"/>
          <w:sz w:val="20"/>
          <w:szCs w:val="24"/>
        </w:rPr>
        <w:t>desagregar por sexo:</w:t>
      </w:r>
    </w:p>
    <w:tbl>
      <w:tblPr>
        <w:tblStyle w:val="Tablaconcuadrcula"/>
        <w:tblW w:w="0" w:type="auto"/>
        <w:jc w:val="center"/>
        <w:tblLook w:val="04A0"/>
      </w:tblPr>
      <w:tblGrid>
        <w:gridCol w:w="1866"/>
        <w:gridCol w:w="1657"/>
        <w:gridCol w:w="1657"/>
        <w:gridCol w:w="1657"/>
        <w:gridCol w:w="1657"/>
      </w:tblGrid>
      <w:tr w:rsidR="008B0624" w:rsidRPr="00F83C1D" w:rsidTr="00617F5C">
        <w:trPr>
          <w:trHeight w:val="94"/>
          <w:jc w:val="center"/>
        </w:trPr>
        <w:tc>
          <w:tcPr>
            <w:tcW w:w="1866" w:type="dxa"/>
          </w:tcPr>
          <w:p w:rsidR="008B0624" w:rsidRPr="00F83C1D" w:rsidRDefault="008B0624" w:rsidP="00C7102B">
            <w:pPr>
              <w:jc w:val="both"/>
              <w:rPr>
                <w:rStyle w:val="Textoennegrita"/>
                <w:rFonts w:cs="Arial"/>
                <w:b w:val="0"/>
                <w:sz w:val="20"/>
                <w:szCs w:val="24"/>
              </w:rPr>
            </w:pPr>
          </w:p>
        </w:tc>
        <w:tc>
          <w:tcPr>
            <w:tcW w:w="3314" w:type="dxa"/>
            <w:gridSpan w:val="2"/>
          </w:tcPr>
          <w:p w:rsidR="008B0624" w:rsidRPr="00F83C1D" w:rsidRDefault="008B0624" w:rsidP="00C7102B">
            <w:pPr>
              <w:jc w:val="center"/>
              <w:rPr>
                <w:rStyle w:val="Textoennegrita"/>
                <w:rFonts w:cs="Arial"/>
                <w:b w:val="0"/>
                <w:sz w:val="20"/>
                <w:szCs w:val="24"/>
              </w:rPr>
            </w:pPr>
            <w:r w:rsidRPr="00F83C1D">
              <w:rPr>
                <w:rStyle w:val="Textoennegrita"/>
                <w:rFonts w:cs="Arial"/>
                <w:b w:val="0"/>
                <w:sz w:val="20"/>
                <w:szCs w:val="24"/>
              </w:rPr>
              <w:t>Hombres</w:t>
            </w:r>
          </w:p>
        </w:tc>
        <w:tc>
          <w:tcPr>
            <w:tcW w:w="3314" w:type="dxa"/>
            <w:gridSpan w:val="2"/>
          </w:tcPr>
          <w:p w:rsidR="008B0624" w:rsidRPr="00F83C1D" w:rsidRDefault="008B0624" w:rsidP="00C7102B">
            <w:pPr>
              <w:jc w:val="center"/>
              <w:rPr>
                <w:rStyle w:val="Textoennegrita"/>
                <w:rFonts w:cs="Arial"/>
                <w:b w:val="0"/>
                <w:sz w:val="20"/>
                <w:szCs w:val="24"/>
              </w:rPr>
            </w:pPr>
            <w:r w:rsidRPr="00F83C1D">
              <w:rPr>
                <w:rStyle w:val="Textoennegrita"/>
                <w:rFonts w:cs="Arial"/>
                <w:b w:val="0"/>
                <w:sz w:val="20"/>
                <w:szCs w:val="24"/>
              </w:rPr>
              <w:t>Mujeres</w:t>
            </w:r>
          </w:p>
        </w:tc>
      </w:tr>
      <w:tr w:rsidR="008B0624" w:rsidRPr="00F83C1D" w:rsidTr="00496B40">
        <w:trPr>
          <w:trHeight w:val="94"/>
          <w:jc w:val="center"/>
        </w:trPr>
        <w:tc>
          <w:tcPr>
            <w:tcW w:w="1866" w:type="dxa"/>
          </w:tcPr>
          <w:p w:rsidR="008B0624" w:rsidRPr="00F83C1D" w:rsidRDefault="008B0624" w:rsidP="00C7102B">
            <w:pPr>
              <w:jc w:val="both"/>
              <w:rPr>
                <w:rStyle w:val="Textoennegrita"/>
                <w:rFonts w:cs="Arial"/>
                <w:b w:val="0"/>
                <w:sz w:val="20"/>
                <w:szCs w:val="24"/>
              </w:rPr>
            </w:pPr>
          </w:p>
        </w:tc>
        <w:tc>
          <w:tcPr>
            <w:tcW w:w="1657" w:type="dxa"/>
          </w:tcPr>
          <w:p w:rsidR="008B0624" w:rsidRPr="00F83C1D" w:rsidRDefault="008B0624" w:rsidP="00C7102B">
            <w:pPr>
              <w:jc w:val="center"/>
              <w:rPr>
                <w:rStyle w:val="Textoennegrita"/>
                <w:rFonts w:cs="Arial"/>
                <w:b w:val="0"/>
                <w:sz w:val="20"/>
                <w:szCs w:val="24"/>
              </w:rPr>
            </w:pPr>
            <w:r w:rsidRPr="00F83C1D">
              <w:rPr>
                <w:rStyle w:val="Textoennegrita"/>
                <w:rFonts w:cs="Arial"/>
                <w:b w:val="0"/>
                <w:sz w:val="20"/>
                <w:szCs w:val="24"/>
              </w:rPr>
              <w:t>Con Discapacidad</w:t>
            </w:r>
          </w:p>
        </w:tc>
        <w:tc>
          <w:tcPr>
            <w:tcW w:w="1657" w:type="dxa"/>
          </w:tcPr>
          <w:p w:rsidR="008B0624" w:rsidRPr="00F83C1D" w:rsidRDefault="008B0624" w:rsidP="00C7102B">
            <w:pPr>
              <w:jc w:val="center"/>
              <w:rPr>
                <w:rStyle w:val="Textoennegrita"/>
                <w:rFonts w:cs="Arial"/>
                <w:b w:val="0"/>
                <w:sz w:val="20"/>
                <w:szCs w:val="24"/>
              </w:rPr>
            </w:pPr>
            <w:r w:rsidRPr="00F83C1D">
              <w:rPr>
                <w:rStyle w:val="Textoennegrita"/>
                <w:rFonts w:cs="Arial"/>
                <w:b w:val="0"/>
                <w:sz w:val="20"/>
                <w:szCs w:val="24"/>
              </w:rPr>
              <w:t>Sin Discapacidad</w:t>
            </w:r>
          </w:p>
        </w:tc>
        <w:tc>
          <w:tcPr>
            <w:tcW w:w="1657" w:type="dxa"/>
          </w:tcPr>
          <w:p w:rsidR="008B0624" w:rsidRPr="00F83C1D" w:rsidRDefault="008B0624" w:rsidP="00C7102B">
            <w:pPr>
              <w:jc w:val="center"/>
              <w:rPr>
                <w:rStyle w:val="Textoennegrita"/>
                <w:rFonts w:cs="Arial"/>
                <w:b w:val="0"/>
                <w:sz w:val="20"/>
                <w:szCs w:val="24"/>
              </w:rPr>
            </w:pPr>
            <w:r w:rsidRPr="00F83C1D">
              <w:rPr>
                <w:rFonts w:cs="Arial"/>
                <w:bCs/>
                <w:sz w:val="20"/>
                <w:szCs w:val="24"/>
              </w:rPr>
              <w:t>Con Discapacidad</w:t>
            </w:r>
          </w:p>
        </w:tc>
        <w:tc>
          <w:tcPr>
            <w:tcW w:w="1657" w:type="dxa"/>
          </w:tcPr>
          <w:p w:rsidR="008B0624" w:rsidRPr="00F83C1D" w:rsidRDefault="008B0624" w:rsidP="00C7102B">
            <w:pPr>
              <w:jc w:val="center"/>
              <w:rPr>
                <w:rStyle w:val="Textoennegrita"/>
                <w:rFonts w:cs="Arial"/>
                <w:b w:val="0"/>
                <w:sz w:val="20"/>
                <w:szCs w:val="24"/>
              </w:rPr>
            </w:pPr>
            <w:r w:rsidRPr="00F83C1D">
              <w:rPr>
                <w:rFonts w:cs="Arial"/>
                <w:bCs/>
                <w:sz w:val="20"/>
                <w:szCs w:val="24"/>
              </w:rPr>
              <w:t>Sin Discapacidad</w:t>
            </w:r>
          </w:p>
        </w:tc>
      </w:tr>
      <w:tr w:rsidR="008B0624" w:rsidRPr="00F83C1D" w:rsidTr="00496B40">
        <w:trPr>
          <w:jc w:val="center"/>
        </w:trPr>
        <w:tc>
          <w:tcPr>
            <w:tcW w:w="1866" w:type="dxa"/>
          </w:tcPr>
          <w:p w:rsidR="008B0624" w:rsidRPr="00F83C1D" w:rsidRDefault="008B0624" w:rsidP="00C7102B">
            <w:pPr>
              <w:rPr>
                <w:rStyle w:val="Textoennegrita"/>
                <w:rFonts w:cs="Arial"/>
                <w:b w:val="0"/>
                <w:sz w:val="20"/>
                <w:szCs w:val="24"/>
              </w:rPr>
            </w:pPr>
            <w:r w:rsidRPr="00F83C1D">
              <w:rPr>
                <w:rStyle w:val="Textoennegrita"/>
                <w:rFonts w:cs="Arial"/>
                <w:b w:val="0"/>
                <w:sz w:val="20"/>
                <w:szCs w:val="24"/>
              </w:rPr>
              <w:t>Tasa de Actividad</w:t>
            </w:r>
          </w:p>
        </w:tc>
        <w:tc>
          <w:tcPr>
            <w:tcW w:w="1657" w:type="dxa"/>
          </w:tcPr>
          <w:p w:rsidR="008B0624" w:rsidRPr="00F83C1D" w:rsidRDefault="008B0624" w:rsidP="00C7102B">
            <w:pPr>
              <w:jc w:val="center"/>
              <w:rPr>
                <w:rStyle w:val="Textoennegrita"/>
                <w:rFonts w:cs="Arial"/>
                <w:b w:val="0"/>
                <w:sz w:val="20"/>
                <w:szCs w:val="24"/>
              </w:rPr>
            </w:pPr>
            <w:r w:rsidRPr="00F83C1D">
              <w:rPr>
                <w:rStyle w:val="Textoennegrita"/>
                <w:rFonts w:cs="Arial"/>
                <w:b w:val="0"/>
                <w:sz w:val="20"/>
                <w:szCs w:val="24"/>
              </w:rPr>
              <w:t>35,1</w:t>
            </w:r>
            <w:r w:rsidR="00917797" w:rsidRPr="00F83C1D">
              <w:rPr>
                <w:rStyle w:val="Textoennegrita"/>
                <w:rFonts w:cs="Arial"/>
                <w:b w:val="0"/>
                <w:sz w:val="20"/>
                <w:szCs w:val="24"/>
              </w:rPr>
              <w:t>%</w:t>
            </w:r>
          </w:p>
        </w:tc>
        <w:tc>
          <w:tcPr>
            <w:tcW w:w="1657" w:type="dxa"/>
          </w:tcPr>
          <w:p w:rsidR="008B0624" w:rsidRPr="00F83C1D" w:rsidRDefault="008B0624" w:rsidP="00C7102B">
            <w:pPr>
              <w:jc w:val="center"/>
              <w:rPr>
                <w:rStyle w:val="Textoennegrita"/>
                <w:rFonts w:cs="Arial"/>
                <w:b w:val="0"/>
                <w:sz w:val="20"/>
                <w:szCs w:val="24"/>
              </w:rPr>
            </w:pPr>
            <w:r w:rsidRPr="00F83C1D">
              <w:rPr>
                <w:rStyle w:val="Textoennegrita"/>
                <w:rFonts w:cs="Arial"/>
                <w:b w:val="0"/>
                <w:sz w:val="20"/>
                <w:szCs w:val="24"/>
              </w:rPr>
              <w:t>83,3</w:t>
            </w:r>
            <w:r w:rsidR="00917797" w:rsidRPr="00F83C1D">
              <w:rPr>
                <w:rStyle w:val="Textoennegrita"/>
                <w:rFonts w:cs="Arial"/>
                <w:b w:val="0"/>
                <w:sz w:val="20"/>
                <w:szCs w:val="24"/>
              </w:rPr>
              <w:t>%</w:t>
            </w:r>
          </w:p>
        </w:tc>
        <w:tc>
          <w:tcPr>
            <w:tcW w:w="1657" w:type="dxa"/>
          </w:tcPr>
          <w:p w:rsidR="008B0624" w:rsidRPr="00F83C1D" w:rsidRDefault="008B0624" w:rsidP="00C7102B">
            <w:pPr>
              <w:jc w:val="center"/>
              <w:rPr>
                <w:rStyle w:val="Textoennegrita"/>
                <w:rFonts w:cs="Arial"/>
                <w:b w:val="0"/>
                <w:sz w:val="20"/>
                <w:szCs w:val="24"/>
              </w:rPr>
            </w:pPr>
            <w:r w:rsidRPr="00F83C1D">
              <w:rPr>
                <w:rStyle w:val="Textoennegrita"/>
                <w:rFonts w:cs="Arial"/>
                <w:b w:val="0"/>
                <w:sz w:val="20"/>
                <w:szCs w:val="24"/>
              </w:rPr>
              <w:t>33,6</w:t>
            </w:r>
            <w:r w:rsidR="00917797" w:rsidRPr="00F83C1D">
              <w:rPr>
                <w:rStyle w:val="Textoennegrita"/>
                <w:rFonts w:cs="Arial"/>
                <w:b w:val="0"/>
                <w:sz w:val="20"/>
                <w:szCs w:val="24"/>
              </w:rPr>
              <w:t>%</w:t>
            </w:r>
          </w:p>
        </w:tc>
        <w:tc>
          <w:tcPr>
            <w:tcW w:w="1657" w:type="dxa"/>
          </w:tcPr>
          <w:p w:rsidR="008B0624" w:rsidRPr="00F83C1D" w:rsidRDefault="008B0624" w:rsidP="00C7102B">
            <w:pPr>
              <w:jc w:val="center"/>
              <w:rPr>
                <w:rStyle w:val="Textoennegrita"/>
                <w:rFonts w:cs="Arial"/>
                <w:b w:val="0"/>
                <w:sz w:val="20"/>
                <w:szCs w:val="24"/>
              </w:rPr>
            </w:pPr>
            <w:r w:rsidRPr="00F83C1D">
              <w:rPr>
                <w:rStyle w:val="Textoennegrita"/>
                <w:rFonts w:cs="Arial"/>
                <w:b w:val="0"/>
                <w:sz w:val="20"/>
                <w:szCs w:val="24"/>
              </w:rPr>
              <w:t>71,7</w:t>
            </w:r>
            <w:r w:rsidR="00917797" w:rsidRPr="00F83C1D">
              <w:rPr>
                <w:rStyle w:val="Textoennegrita"/>
                <w:rFonts w:cs="Arial"/>
                <w:b w:val="0"/>
                <w:sz w:val="20"/>
                <w:szCs w:val="24"/>
              </w:rPr>
              <w:t>%</w:t>
            </w:r>
          </w:p>
        </w:tc>
      </w:tr>
      <w:tr w:rsidR="008B0624" w:rsidRPr="00F83C1D" w:rsidTr="00496B40">
        <w:trPr>
          <w:jc w:val="center"/>
        </w:trPr>
        <w:tc>
          <w:tcPr>
            <w:tcW w:w="1866" w:type="dxa"/>
          </w:tcPr>
          <w:p w:rsidR="008B0624" w:rsidRPr="00F83C1D" w:rsidRDefault="008B0624" w:rsidP="00C7102B">
            <w:pPr>
              <w:rPr>
                <w:rStyle w:val="Textoennegrita"/>
                <w:rFonts w:cs="Arial"/>
                <w:b w:val="0"/>
                <w:sz w:val="20"/>
                <w:szCs w:val="24"/>
              </w:rPr>
            </w:pPr>
            <w:r w:rsidRPr="00F83C1D">
              <w:rPr>
                <w:rStyle w:val="Textoennegrita"/>
                <w:rFonts w:cs="Arial"/>
                <w:b w:val="0"/>
                <w:sz w:val="20"/>
                <w:szCs w:val="24"/>
              </w:rPr>
              <w:t>Tasa de Ocupación</w:t>
            </w:r>
          </w:p>
        </w:tc>
        <w:tc>
          <w:tcPr>
            <w:tcW w:w="1657" w:type="dxa"/>
          </w:tcPr>
          <w:p w:rsidR="008B0624" w:rsidRPr="00F83C1D" w:rsidRDefault="008B0624" w:rsidP="00C7102B">
            <w:pPr>
              <w:jc w:val="center"/>
              <w:rPr>
                <w:rStyle w:val="Textoennegrita"/>
                <w:rFonts w:cs="Arial"/>
                <w:b w:val="0"/>
                <w:sz w:val="20"/>
                <w:szCs w:val="24"/>
              </w:rPr>
            </w:pPr>
            <w:r w:rsidRPr="00F83C1D">
              <w:rPr>
                <w:rStyle w:val="Textoennegrita"/>
                <w:rFonts w:cs="Arial"/>
                <w:b w:val="0"/>
                <w:sz w:val="20"/>
                <w:szCs w:val="24"/>
              </w:rPr>
              <w:t>26,2</w:t>
            </w:r>
            <w:r w:rsidR="00917797" w:rsidRPr="00F83C1D">
              <w:rPr>
                <w:rStyle w:val="Textoennegrita"/>
                <w:rFonts w:cs="Arial"/>
                <w:b w:val="0"/>
                <w:sz w:val="20"/>
                <w:szCs w:val="24"/>
              </w:rPr>
              <w:t>%</w:t>
            </w:r>
          </w:p>
        </w:tc>
        <w:tc>
          <w:tcPr>
            <w:tcW w:w="1657" w:type="dxa"/>
          </w:tcPr>
          <w:p w:rsidR="008B0624" w:rsidRPr="00F83C1D" w:rsidRDefault="008B0624" w:rsidP="00C7102B">
            <w:pPr>
              <w:jc w:val="center"/>
              <w:rPr>
                <w:rStyle w:val="Textoennegrita"/>
                <w:rFonts w:cs="Arial"/>
                <w:b w:val="0"/>
                <w:sz w:val="20"/>
                <w:szCs w:val="24"/>
              </w:rPr>
            </w:pPr>
            <w:r w:rsidRPr="00F83C1D">
              <w:rPr>
                <w:rStyle w:val="Textoennegrita"/>
                <w:rFonts w:cs="Arial"/>
                <w:b w:val="0"/>
                <w:sz w:val="20"/>
                <w:szCs w:val="24"/>
              </w:rPr>
              <w:t>72,4</w:t>
            </w:r>
            <w:r w:rsidR="00917797" w:rsidRPr="00F83C1D">
              <w:rPr>
                <w:rStyle w:val="Textoennegrita"/>
                <w:rFonts w:cs="Arial"/>
                <w:b w:val="0"/>
                <w:sz w:val="20"/>
                <w:szCs w:val="24"/>
              </w:rPr>
              <w:t>%</w:t>
            </w:r>
          </w:p>
        </w:tc>
        <w:tc>
          <w:tcPr>
            <w:tcW w:w="1657" w:type="dxa"/>
          </w:tcPr>
          <w:p w:rsidR="008B0624" w:rsidRPr="00F83C1D" w:rsidRDefault="008B0624" w:rsidP="00C7102B">
            <w:pPr>
              <w:jc w:val="center"/>
              <w:rPr>
                <w:rStyle w:val="Textoennegrita"/>
                <w:rFonts w:cs="Arial"/>
                <w:b w:val="0"/>
                <w:sz w:val="20"/>
                <w:szCs w:val="24"/>
              </w:rPr>
            </w:pPr>
            <w:r w:rsidRPr="00F83C1D">
              <w:rPr>
                <w:rStyle w:val="Textoennegrita"/>
                <w:rFonts w:cs="Arial"/>
                <w:b w:val="0"/>
                <w:sz w:val="20"/>
                <w:szCs w:val="24"/>
              </w:rPr>
              <w:t>25,2</w:t>
            </w:r>
            <w:r w:rsidR="00917797" w:rsidRPr="00F83C1D">
              <w:rPr>
                <w:rStyle w:val="Textoennegrita"/>
                <w:rFonts w:cs="Arial"/>
                <w:b w:val="0"/>
                <w:sz w:val="20"/>
                <w:szCs w:val="24"/>
              </w:rPr>
              <w:t>%</w:t>
            </w:r>
          </w:p>
        </w:tc>
        <w:tc>
          <w:tcPr>
            <w:tcW w:w="1657" w:type="dxa"/>
          </w:tcPr>
          <w:p w:rsidR="008B0624" w:rsidRPr="00F83C1D" w:rsidRDefault="008B0624" w:rsidP="00C7102B">
            <w:pPr>
              <w:jc w:val="center"/>
              <w:rPr>
                <w:rStyle w:val="Textoennegrita"/>
                <w:rFonts w:cs="Arial"/>
                <w:b w:val="0"/>
                <w:sz w:val="20"/>
                <w:szCs w:val="24"/>
              </w:rPr>
            </w:pPr>
            <w:r w:rsidRPr="00F83C1D">
              <w:rPr>
                <w:rStyle w:val="Textoennegrita"/>
                <w:rFonts w:cs="Arial"/>
                <w:b w:val="0"/>
                <w:sz w:val="20"/>
                <w:szCs w:val="24"/>
              </w:rPr>
              <w:t>59,6</w:t>
            </w:r>
            <w:r w:rsidR="00917797" w:rsidRPr="00F83C1D">
              <w:rPr>
                <w:rStyle w:val="Textoennegrita"/>
                <w:rFonts w:cs="Arial"/>
                <w:b w:val="0"/>
                <w:sz w:val="20"/>
                <w:szCs w:val="24"/>
              </w:rPr>
              <w:t>%</w:t>
            </w:r>
          </w:p>
        </w:tc>
      </w:tr>
      <w:tr w:rsidR="008B0624" w:rsidRPr="00F83C1D" w:rsidTr="00496B40">
        <w:trPr>
          <w:jc w:val="center"/>
        </w:trPr>
        <w:tc>
          <w:tcPr>
            <w:tcW w:w="1866" w:type="dxa"/>
          </w:tcPr>
          <w:p w:rsidR="008B0624" w:rsidRPr="00F83C1D" w:rsidRDefault="008B0624" w:rsidP="00C7102B">
            <w:pPr>
              <w:jc w:val="both"/>
              <w:rPr>
                <w:rStyle w:val="Textoennegrita"/>
                <w:rFonts w:cs="Arial"/>
                <w:b w:val="0"/>
                <w:sz w:val="20"/>
                <w:szCs w:val="24"/>
              </w:rPr>
            </w:pPr>
            <w:r w:rsidRPr="00F83C1D">
              <w:rPr>
                <w:rStyle w:val="Textoennegrita"/>
                <w:rFonts w:cs="Arial"/>
                <w:b w:val="0"/>
                <w:sz w:val="20"/>
                <w:szCs w:val="24"/>
              </w:rPr>
              <w:t>Tasa de Paro</w:t>
            </w:r>
          </w:p>
        </w:tc>
        <w:tc>
          <w:tcPr>
            <w:tcW w:w="1657" w:type="dxa"/>
          </w:tcPr>
          <w:p w:rsidR="008B0624" w:rsidRPr="00F83C1D" w:rsidRDefault="008B0624" w:rsidP="00C7102B">
            <w:pPr>
              <w:jc w:val="center"/>
              <w:rPr>
                <w:rStyle w:val="Textoennegrita"/>
                <w:rFonts w:cs="Arial"/>
                <w:b w:val="0"/>
                <w:sz w:val="20"/>
                <w:szCs w:val="24"/>
              </w:rPr>
            </w:pPr>
            <w:r w:rsidRPr="00F83C1D">
              <w:rPr>
                <w:rStyle w:val="Textoennegrita"/>
                <w:rFonts w:cs="Arial"/>
                <w:b w:val="0"/>
                <w:sz w:val="20"/>
                <w:szCs w:val="24"/>
              </w:rPr>
              <w:t>25,4</w:t>
            </w:r>
            <w:r w:rsidR="00917797" w:rsidRPr="00F83C1D">
              <w:rPr>
                <w:rStyle w:val="Textoennegrita"/>
                <w:rFonts w:cs="Arial"/>
                <w:b w:val="0"/>
                <w:sz w:val="20"/>
                <w:szCs w:val="24"/>
              </w:rPr>
              <w:t>%</w:t>
            </w:r>
          </w:p>
        </w:tc>
        <w:tc>
          <w:tcPr>
            <w:tcW w:w="1657" w:type="dxa"/>
          </w:tcPr>
          <w:p w:rsidR="008B0624" w:rsidRPr="00F83C1D" w:rsidRDefault="008B0624" w:rsidP="00C7102B">
            <w:pPr>
              <w:jc w:val="center"/>
              <w:rPr>
                <w:rStyle w:val="Textoennegrita"/>
                <w:rFonts w:cs="Arial"/>
                <w:b w:val="0"/>
                <w:sz w:val="20"/>
                <w:szCs w:val="24"/>
              </w:rPr>
            </w:pPr>
            <w:r w:rsidRPr="00F83C1D">
              <w:rPr>
                <w:rStyle w:val="Textoennegrita"/>
                <w:rFonts w:cs="Arial"/>
                <w:b w:val="0"/>
                <w:sz w:val="20"/>
                <w:szCs w:val="24"/>
              </w:rPr>
              <w:t>13,4</w:t>
            </w:r>
            <w:r w:rsidR="00917797" w:rsidRPr="00F83C1D">
              <w:rPr>
                <w:rStyle w:val="Textoennegrita"/>
                <w:rFonts w:cs="Arial"/>
                <w:b w:val="0"/>
                <w:sz w:val="20"/>
                <w:szCs w:val="24"/>
              </w:rPr>
              <w:t>%</w:t>
            </w:r>
          </w:p>
        </w:tc>
        <w:tc>
          <w:tcPr>
            <w:tcW w:w="1657" w:type="dxa"/>
          </w:tcPr>
          <w:p w:rsidR="008B0624" w:rsidRPr="00F83C1D" w:rsidRDefault="008B0624" w:rsidP="00C7102B">
            <w:pPr>
              <w:jc w:val="center"/>
              <w:rPr>
                <w:rStyle w:val="Textoennegrita"/>
                <w:rFonts w:cs="Arial"/>
                <w:b w:val="0"/>
                <w:sz w:val="20"/>
                <w:szCs w:val="24"/>
              </w:rPr>
            </w:pPr>
            <w:r w:rsidRPr="00F83C1D">
              <w:rPr>
                <w:rStyle w:val="Textoennegrita"/>
                <w:rFonts w:cs="Arial"/>
                <w:b w:val="0"/>
                <w:sz w:val="20"/>
                <w:szCs w:val="24"/>
              </w:rPr>
              <w:t>25</w:t>
            </w:r>
            <w:r w:rsidR="00917797" w:rsidRPr="00F83C1D">
              <w:rPr>
                <w:rStyle w:val="Textoennegrita"/>
                <w:rFonts w:cs="Arial"/>
                <w:b w:val="0"/>
                <w:sz w:val="20"/>
                <w:szCs w:val="24"/>
              </w:rPr>
              <w:t>%</w:t>
            </w:r>
          </w:p>
        </w:tc>
        <w:tc>
          <w:tcPr>
            <w:tcW w:w="1657" w:type="dxa"/>
          </w:tcPr>
          <w:p w:rsidR="008B0624" w:rsidRPr="00F83C1D" w:rsidRDefault="008B0624" w:rsidP="00C7102B">
            <w:pPr>
              <w:jc w:val="center"/>
              <w:rPr>
                <w:rStyle w:val="Textoennegrita"/>
                <w:rFonts w:cs="Arial"/>
                <w:b w:val="0"/>
                <w:sz w:val="20"/>
                <w:szCs w:val="24"/>
              </w:rPr>
            </w:pPr>
            <w:r w:rsidRPr="00F83C1D">
              <w:rPr>
                <w:rStyle w:val="Textoennegrita"/>
                <w:rFonts w:cs="Arial"/>
                <w:b w:val="0"/>
                <w:sz w:val="20"/>
                <w:szCs w:val="24"/>
              </w:rPr>
              <w:t>16,9</w:t>
            </w:r>
            <w:r w:rsidR="00917797" w:rsidRPr="00F83C1D">
              <w:rPr>
                <w:rStyle w:val="Textoennegrita"/>
                <w:rFonts w:cs="Arial"/>
                <w:b w:val="0"/>
                <w:sz w:val="20"/>
                <w:szCs w:val="24"/>
              </w:rPr>
              <w:t>%</w:t>
            </w:r>
          </w:p>
        </w:tc>
      </w:tr>
    </w:tbl>
    <w:p w:rsidR="00C7102B" w:rsidRPr="00F83C1D" w:rsidRDefault="00C7102B" w:rsidP="00C7102B">
      <w:pPr>
        <w:jc w:val="both"/>
        <w:rPr>
          <w:rStyle w:val="Textoennegrita"/>
          <w:rFonts w:cs="Arial"/>
          <w:b w:val="0"/>
          <w:sz w:val="20"/>
          <w:szCs w:val="24"/>
        </w:rPr>
      </w:pPr>
    </w:p>
    <w:p w:rsidR="00422208" w:rsidRPr="00F83C1D" w:rsidRDefault="00B320E5" w:rsidP="004875E5">
      <w:pPr>
        <w:pStyle w:val="Prrafodelista"/>
        <w:numPr>
          <w:ilvl w:val="0"/>
          <w:numId w:val="1"/>
        </w:numPr>
        <w:spacing w:before="0" w:after="160" w:line="240" w:lineRule="auto"/>
        <w:ind w:left="425" w:hanging="425"/>
        <w:jc w:val="both"/>
        <w:rPr>
          <w:rStyle w:val="Textoennegrita"/>
          <w:rFonts w:ascii="Arial" w:hAnsi="Arial" w:cs="Arial"/>
          <w:b w:val="0"/>
          <w:szCs w:val="24"/>
        </w:rPr>
      </w:pPr>
      <w:bookmarkStart w:id="2" w:name="OLE_LINK3"/>
      <w:bookmarkStart w:id="3" w:name="OLE_LINK4"/>
      <w:r w:rsidRPr="00F83C1D">
        <w:rPr>
          <w:rStyle w:val="Textoennegrita"/>
          <w:rFonts w:ascii="Arial" w:hAnsi="Arial" w:cs="Arial"/>
          <w:b w:val="0"/>
          <w:szCs w:val="24"/>
        </w:rPr>
        <w:t>Diferentes</w:t>
      </w:r>
      <w:r w:rsidR="0090319F" w:rsidRPr="00F83C1D">
        <w:rPr>
          <w:rStyle w:val="Textoennegrita"/>
          <w:rFonts w:ascii="Arial" w:hAnsi="Arial" w:cs="Arial"/>
          <w:b w:val="0"/>
          <w:szCs w:val="24"/>
        </w:rPr>
        <w:t xml:space="preserve"> estudios muestran que España se mantiene a la cola de los países desarrollados en materia de inserción femenina en el mercado laboral, repitiendo en el puesto 28, de los 33 países analizados. Los resultados de estos estudios sitúan la brecha salarial ajustada en España, entre un nivel mínimo de 9,1% y un máximo de 22% para el sector privado, y de un 7% para el público.</w:t>
      </w:r>
    </w:p>
    <w:p w:rsidR="00422208" w:rsidRPr="00F83C1D" w:rsidRDefault="00422208" w:rsidP="00422208">
      <w:pPr>
        <w:pStyle w:val="Prrafodelista"/>
        <w:rPr>
          <w:rStyle w:val="Textoennegrita"/>
          <w:rFonts w:ascii="Arial" w:hAnsi="Arial" w:cs="Arial"/>
          <w:b w:val="0"/>
          <w:szCs w:val="24"/>
        </w:rPr>
      </w:pPr>
    </w:p>
    <w:p w:rsidR="00B320E5" w:rsidRPr="00F83C1D" w:rsidRDefault="0090319F" w:rsidP="00646B8E">
      <w:pPr>
        <w:pStyle w:val="Prrafodelista"/>
        <w:numPr>
          <w:ilvl w:val="0"/>
          <w:numId w:val="1"/>
        </w:numPr>
        <w:spacing w:before="0" w:after="0" w:line="240" w:lineRule="auto"/>
        <w:ind w:left="426" w:hanging="426"/>
        <w:jc w:val="both"/>
        <w:rPr>
          <w:rStyle w:val="Textoennegrita"/>
          <w:rFonts w:ascii="Arial" w:hAnsi="Arial" w:cs="Arial"/>
          <w:b w:val="0"/>
          <w:szCs w:val="24"/>
        </w:rPr>
      </w:pPr>
      <w:r w:rsidRPr="00F83C1D">
        <w:rPr>
          <w:rStyle w:val="Textoennegrita"/>
          <w:rFonts w:ascii="Arial" w:hAnsi="Arial" w:cs="Arial"/>
          <w:b w:val="0"/>
          <w:szCs w:val="24"/>
        </w:rPr>
        <w:t>En relación a la brecha salarial entre las personas trabajadoras con y sin discapacidad (hablando de salario bruto), se mantiene estable en los últimos años y se sitúa en 4.000 euros. Así, las personas sin discapacidad han visto incrementar paulatinamente sus ingresos, mientras las personas con discapacidad han experimentado fluctuaciones en sus salarios, que han disminuido en algunos ejercicios, hasta que en 2017 se incrementaron de nuevo.</w:t>
      </w:r>
    </w:p>
    <w:p w:rsidR="00B320E5" w:rsidRPr="00F83C1D" w:rsidRDefault="00B320E5" w:rsidP="00B320E5">
      <w:pPr>
        <w:pStyle w:val="Prrafodelista"/>
        <w:rPr>
          <w:rFonts w:ascii="Arial" w:hAnsi="Arial" w:cs="Arial"/>
          <w:bCs/>
          <w:szCs w:val="24"/>
        </w:rPr>
      </w:pPr>
    </w:p>
    <w:p w:rsidR="0090319F" w:rsidRPr="00F83C1D" w:rsidRDefault="0090319F" w:rsidP="00646B8E">
      <w:pPr>
        <w:pStyle w:val="Prrafodelista"/>
        <w:numPr>
          <w:ilvl w:val="0"/>
          <w:numId w:val="1"/>
        </w:numPr>
        <w:spacing w:before="0" w:after="0" w:line="240" w:lineRule="auto"/>
        <w:ind w:left="426" w:hanging="426"/>
        <w:jc w:val="both"/>
        <w:rPr>
          <w:rFonts w:ascii="Arial" w:hAnsi="Arial" w:cs="Arial"/>
          <w:bCs/>
          <w:szCs w:val="24"/>
        </w:rPr>
      </w:pPr>
      <w:r w:rsidRPr="00F83C1D">
        <w:rPr>
          <w:rFonts w:ascii="Arial" w:hAnsi="Arial" w:cs="Arial"/>
          <w:bCs/>
          <w:szCs w:val="24"/>
        </w:rPr>
        <w:t>Según datos del INE del año 2017 (últimos publicados</w:t>
      </w:r>
      <w:r w:rsidR="00B320E5" w:rsidRPr="00F83C1D">
        <w:rPr>
          <w:rFonts w:ascii="Arial" w:hAnsi="Arial" w:cs="Arial"/>
          <w:bCs/>
          <w:szCs w:val="24"/>
        </w:rPr>
        <w:t xml:space="preserve"> al respecto</w:t>
      </w:r>
      <w:r w:rsidRPr="00F83C1D">
        <w:rPr>
          <w:rFonts w:ascii="Arial" w:hAnsi="Arial" w:cs="Arial"/>
          <w:bCs/>
          <w:szCs w:val="24"/>
        </w:rPr>
        <w:t xml:space="preserve">): </w:t>
      </w:r>
    </w:p>
    <w:p w:rsidR="0090319F" w:rsidRPr="00F83C1D" w:rsidRDefault="0090319F" w:rsidP="0090319F">
      <w:pPr>
        <w:pStyle w:val="Prrafodelista"/>
        <w:numPr>
          <w:ilvl w:val="1"/>
          <w:numId w:val="1"/>
        </w:numPr>
        <w:tabs>
          <w:tab w:val="left" w:pos="567"/>
        </w:tabs>
        <w:spacing w:before="0" w:after="0" w:line="240" w:lineRule="auto"/>
        <w:ind w:hanging="513"/>
        <w:jc w:val="both"/>
        <w:rPr>
          <w:rFonts w:ascii="Arial" w:hAnsi="Arial" w:cs="Arial"/>
          <w:bCs/>
          <w:szCs w:val="24"/>
        </w:rPr>
      </w:pPr>
      <w:r w:rsidRPr="00F83C1D">
        <w:rPr>
          <w:rFonts w:ascii="Arial" w:hAnsi="Arial" w:cs="Arial"/>
          <w:bCs/>
          <w:szCs w:val="24"/>
        </w:rPr>
        <w:t>El salario medio bruto anual para los hombres sin discapacidad ascendió a 26.574,5 euros</w:t>
      </w:r>
      <w:r w:rsidR="00A3268B" w:rsidRPr="00F83C1D">
        <w:rPr>
          <w:rFonts w:ascii="Arial" w:hAnsi="Arial" w:cs="Arial"/>
          <w:bCs/>
          <w:szCs w:val="24"/>
        </w:rPr>
        <w:t>.</w:t>
      </w:r>
    </w:p>
    <w:p w:rsidR="0090319F" w:rsidRPr="00F83C1D" w:rsidRDefault="0090319F" w:rsidP="0090319F">
      <w:pPr>
        <w:pStyle w:val="Prrafodelista"/>
        <w:numPr>
          <w:ilvl w:val="1"/>
          <w:numId w:val="1"/>
        </w:numPr>
        <w:tabs>
          <w:tab w:val="left" w:pos="567"/>
        </w:tabs>
        <w:spacing w:before="0" w:after="0" w:line="240" w:lineRule="auto"/>
        <w:ind w:hanging="513"/>
        <w:jc w:val="both"/>
        <w:rPr>
          <w:rFonts w:ascii="Arial" w:hAnsi="Arial" w:cs="Arial"/>
          <w:bCs/>
          <w:szCs w:val="24"/>
        </w:rPr>
      </w:pPr>
      <w:r w:rsidRPr="00F83C1D">
        <w:rPr>
          <w:rFonts w:ascii="Arial" w:hAnsi="Arial" w:cs="Arial"/>
          <w:bCs/>
          <w:szCs w:val="24"/>
        </w:rPr>
        <w:t>El salario medio bruto anual para las mujeres sin discapacidad ascendió a 20.681,4 euros</w:t>
      </w:r>
      <w:r w:rsidR="00A3268B" w:rsidRPr="00F83C1D">
        <w:rPr>
          <w:rFonts w:ascii="Arial" w:hAnsi="Arial" w:cs="Arial"/>
          <w:bCs/>
          <w:szCs w:val="24"/>
        </w:rPr>
        <w:t>.</w:t>
      </w:r>
    </w:p>
    <w:p w:rsidR="0090319F" w:rsidRPr="00F83C1D" w:rsidRDefault="0090319F" w:rsidP="0090319F">
      <w:pPr>
        <w:pStyle w:val="Prrafodelista"/>
        <w:numPr>
          <w:ilvl w:val="1"/>
          <w:numId w:val="1"/>
        </w:numPr>
        <w:tabs>
          <w:tab w:val="left" w:pos="567"/>
        </w:tabs>
        <w:spacing w:before="0" w:after="0" w:line="240" w:lineRule="auto"/>
        <w:ind w:hanging="513"/>
        <w:jc w:val="both"/>
        <w:rPr>
          <w:rFonts w:ascii="Arial" w:hAnsi="Arial" w:cs="Arial"/>
          <w:bCs/>
          <w:szCs w:val="24"/>
        </w:rPr>
      </w:pPr>
      <w:r w:rsidRPr="00F83C1D">
        <w:rPr>
          <w:rFonts w:ascii="Arial" w:hAnsi="Arial" w:cs="Arial"/>
          <w:bCs/>
          <w:szCs w:val="24"/>
        </w:rPr>
        <w:t>El salario medio bruto anual para los hombres con discapacidad ascendió a 21.079,2 euros</w:t>
      </w:r>
      <w:r w:rsidR="00A3268B" w:rsidRPr="00F83C1D">
        <w:rPr>
          <w:rFonts w:ascii="Arial" w:hAnsi="Arial" w:cs="Arial"/>
          <w:bCs/>
          <w:szCs w:val="24"/>
        </w:rPr>
        <w:t>.</w:t>
      </w:r>
    </w:p>
    <w:p w:rsidR="0090319F" w:rsidRPr="00F83C1D" w:rsidRDefault="0090319F" w:rsidP="0090319F">
      <w:pPr>
        <w:pStyle w:val="Prrafodelista"/>
        <w:numPr>
          <w:ilvl w:val="1"/>
          <w:numId w:val="1"/>
        </w:numPr>
        <w:tabs>
          <w:tab w:val="left" w:pos="567"/>
        </w:tabs>
        <w:spacing w:before="0" w:after="0" w:line="240" w:lineRule="auto"/>
        <w:ind w:hanging="513"/>
        <w:jc w:val="both"/>
        <w:rPr>
          <w:rFonts w:ascii="Arial" w:hAnsi="Arial" w:cs="Arial"/>
          <w:bCs/>
          <w:szCs w:val="24"/>
        </w:rPr>
      </w:pPr>
      <w:r w:rsidRPr="00F83C1D">
        <w:rPr>
          <w:rFonts w:ascii="Arial" w:hAnsi="Arial" w:cs="Arial"/>
          <w:bCs/>
          <w:szCs w:val="24"/>
        </w:rPr>
        <w:t>El salario medio bruto anual para las mujeres con discapacidad ascendió a 17.730,8 euros</w:t>
      </w:r>
      <w:r w:rsidR="00A3268B" w:rsidRPr="00F83C1D">
        <w:rPr>
          <w:rFonts w:ascii="Arial" w:hAnsi="Arial" w:cs="Arial"/>
          <w:bCs/>
          <w:szCs w:val="24"/>
        </w:rPr>
        <w:t>.</w:t>
      </w:r>
    </w:p>
    <w:p w:rsidR="0090319F" w:rsidRPr="00F83C1D" w:rsidRDefault="0090319F" w:rsidP="0090319F">
      <w:pPr>
        <w:pStyle w:val="Prrafodelista"/>
        <w:numPr>
          <w:ilvl w:val="1"/>
          <w:numId w:val="1"/>
        </w:numPr>
        <w:tabs>
          <w:tab w:val="left" w:pos="567"/>
        </w:tabs>
        <w:spacing w:before="0" w:after="0" w:line="240" w:lineRule="auto"/>
        <w:ind w:hanging="513"/>
        <w:jc w:val="both"/>
        <w:rPr>
          <w:rFonts w:ascii="Arial" w:hAnsi="Arial" w:cs="Arial"/>
          <w:bCs/>
          <w:szCs w:val="24"/>
        </w:rPr>
      </w:pPr>
      <w:r w:rsidRPr="00F83C1D">
        <w:rPr>
          <w:rFonts w:ascii="Arial" w:hAnsi="Arial" w:cs="Arial"/>
          <w:bCs/>
          <w:szCs w:val="24"/>
        </w:rPr>
        <w:t>La diferencia en el salario/hora entre hombres y mujeres con discapacidad ascendió a 1,0 euros/hora (inferior en las mujeres respecto a los hombres)</w:t>
      </w:r>
      <w:r w:rsidR="00A3268B" w:rsidRPr="00F83C1D">
        <w:rPr>
          <w:rFonts w:ascii="Arial" w:hAnsi="Arial" w:cs="Arial"/>
          <w:bCs/>
          <w:szCs w:val="24"/>
        </w:rPr>
        <w:t>.</w:t>
      </w:r>
    </w:p>
    <w:p w:rsidR="00884C8B" w:rsidRPr="00F83C1D" w:rsidRDefault="0090319F" w:rsidP="00884C8B">
      <w:pPr>
        <w:pStyle w:val="Prrafodelista"/>
        <w:numPr>
          <w:ilvl w:val="1"/>
          <w:numId w:val="1"/>
        </w:numPr>
        <w:tabs>
          <w:tab w:val="left" w:pos="567"/>
        </w:tabs>
        <w:spacing w:before="0" w:after="0" w:line="240" w:lineRule="auto"/>
        <w:ind w:hanging="513"/>
        <w:jc w:val="both"/>
        <w:rPr>
          <w:rFonts w:ascii="Arial" w:hAnsi="Arial" w:cs="Arial"/>
          <w:bCs/>
          <w:szCs w:val="24"/>
        </w:rPr>
      </w:pPr>
      <w:r w:rsidRPr="00F83C1D">
        <w:rPr>
          <w:rFonts w:ascii="Arial" w:hAnsi="Arial" w:cs="Arial"/>
          <w:bCs/>
          <w:szCs w:val="24"/>
        </w:rPr>
        <w:t>La diferencia en el salario/hora entre hombres y mujeres sin discapacidad ascendió a 2,2 euros/hora (inferior en las mujeres respecto a los hombres)</w:t>
      </w:r>
      <w:bookmarkEnd w:id="2"/>
      <w:bookmarkEnd w:id="3"/>
      <w:r w:rsidR="00944A22" w:rsidRPr="00F83C1D">
        <w:rPr>
          <w:rFonts w:ascii="Arial" w:hAnsi="Arial" w:cs="Arial"/>
          <w:bCs/>
          <w:szCs w:val="24"/>
        </w:rPr>
        <w:t>.</w:t>
      </w:r>
    </w:p>
    <w:p w:rsidR="00944A22" w:rsidRPr="00F83C1D" w:rsidRDefault="00944A22" w:rsidP="00944A22">
      <w:pPr>
        <w:tabs>
          <w:tab w:val="left" w:pos="567"/>
        </w:tabs>
        <w:spacing w:after="0" w:line="240" w:lineRule="auto"/>
        <w:jc w:val="both"/>
        <w:rPr>
          <w:rFonts w:cs="Arial"/>
          <w:bCs/>
          <w:sz w:val="20"/>
          <w:szCs w:val="24"/>
        </w:rPr>
      </w:pPr>
    </w:p>
    <w:p w:rsidR="00944A22" w:rsidRPr="00F83C1D" w:rsidRDefault="00F83C1D" w:rsidP="00944A22">
      <w:pPr>
        <w:tabs>
          <w:tab w:val="left" w:pos="567"/>
        </w:tabs>
        <w:spacing w:after="0" w:line="240" w:lineRule="auto"/>
        <w:jc w:val="both"/>
        <w:rPr>
          <w:rFonts w:cs="Arial"/>
          <w:b/>
          <w:color w:val="002060"/>
          <w:szCs w:val="24"/>
        </w:rPr>
      </w:pPr>
      <w:r w:rsidRPr="00F83C1D">
        <w:rPr>
          <w:rFonts w:cs="Arial"/>
          <w:b/>
          <w:bCs/>
          <w:color w:val="002060"/>
          <w:szCs w:val="24"/>
        </w:rPr>
        <w:t xml:space="preserve">Recomendaciones para la consideración adecuada de las mujeres con discapacidad en una futura </w:t>
      </w:r>
      <w:r w:rsidRPr="00F83C1D">
        <w:rPr>
          <w:rFonts w:cs="Arial"/>
          <w:b/>
          <w:color w:val="002060"/>
          <w:szCs w:val="24"/>
        </w:rPr>
        <w:t>iniciativa legislativa relativa al refuerzo del principio de igualdad de retribución entre hombres y mujeres mediante la transparencia salarial</w:t>
      </w:r>
    </w:p>
    <w:p w:rsidR="00F83C1D" w:rsidRPr="00F83C1D" w:rsidRDefault="00F83C1D" w:rsidP="00944A22">
      <w:pPr>
        <w:tabs>
          <w:tab w:val="left" w:pos="567"/>
        </w:tabs>
        <w:spacing w:after="0" w:line="240" w:lineRule="auto"/>
        <w:jc w:val="both"/>
        <w:rPr>
          <w:rFonts w:cs="Arial"/>
          <w:bCs/>
          <w:color w:val="002060"/>
          <w:sz w:val="20"/>
          <w:szCs w:val="24"/>
        </w:rPr>
      </w:pPr>
    </w:p>
    <w:p w:rsidR="00944A22" w:rsidRPr="00F83C1D" w:rsidRDefault="00944A22" w:rsidP="00944A22">
      <w:pPr>
        <w:jc w:val="both"/>
        <w:rPr>
          <w:rFonts w:cs="Arial"/>
          <w:sz w:val="20"/>
        </w:rPr>
      </w:pPr>
      <w:r w:rsidRPr="00F83C1D">
        <w:rPr>
          <w:rFonts w:cs="Arial"/>
          <w:sz w:val="20"/>
        </w:rPr>
        <w:t>Al objeto de abordar estas cuestiones, la Unión Europea debe estudiar la brecha salarial de género que padecen las mujeres con discapacidad y adoptar las medidas necesarias para eliminarla.</w:t>
      </w:r>
    </w:p>
    <w:p w:rsidR="00944A22" w:rsidRPr="00F83C1D" w:rsidRDefault="00F83C1D" w:rsidP="00944A22">
      <w:pPr>
        <w:jc w:val="both"/>
        <w:rPr>
          <w:rFonts w:cs="Arial"/>
          <w:sz w:val="20"/>
        </w:rPr>
      </w:pPr>
      <w:r>
        <w:rPr>
          <w:rFonts w:cs="Arial"/>
          <w:sz w:val="20"/>
        </w:rPr>
        <w:t>El movimiento CERMI Mujeres</w:t>
      </w:r>
      <w:r w:rsidR="004B44F3" w:rsidRPr="00F83C1D">
        <w:rPr>
          <w:rFonts w:cs="Arial"/>
          <w:sz w:val="20"/>
        </w:rPr>
        <w:t xml:space="preserve"> </w:t>
      </w:r>
      <w:r w:rsidR="00944A22" w:rsidRPr="00F83C1D">
        <w:rPr>
          <w:rFonts w:cs="Arial"/>
          <w:sz w:val="20"/>
        </w:rPr>
        <w:t>considera que una iniciativa legislativa para fortalecer el principio de igualdad salarial entre hombres y mujeres a través de medidas de transparencia salarial podría incidir positivamente en las mujeres con discapacidad, siempre que se cumplan las siguientes condiciones:</w:t>
      </w:r>
    </w:p>
    <w:p w:rsidR="00944A22" w:rsidRPr="00F83C1D" w:rsidRDefault="00944A22" w:rsidP="00944A22">
      <w:pPr>
        <w:jc w:val="both"/>
        <w:rPr>
          <w:rFonts w:cs="Arial"/>
          <w:sz w:val="20"/>
        </w:rPr>
      </w:pPr>
      <w:r w:rsidRPr="00F83C1D">
        <w:rPr>
          <w:rFonts w:cs="Arial"/>
          <w:sz w:val="20"/>
        </w:rPr>
        <w:lastRenderedPageBreak/>
        <w:t>• Las obligaciones en relación con la transparencia salarial deben aplicarse a todos los empleadores, independientemente de la magnitud de la empresa u organización o el tipo de empleo. A modo de ejemplo, debe aplicarse a las empresas que dan empleo en talleres protegidos en los que puedan trabajar mujeres con discapacidad, y en particular mujeres con discapacidad intelectual, y al trabajo a tiempo parcial.</w:t>
      </w:r>
    </w:p>
    <w:p w:rsidR="00944A22" w:rsidRPr="00F83C1D" w:rsidRDefault="00944A22" w:rsidP="00944A22">
      <w:pPr>
        <w:jc w:val="both"/>
        <w:rPr>
          <w:rFonts w:cs="Arial"/>
          <w:sz w:val="20"/>
        </w:rPr>
      </w:pPr>
      <w:r w:rsidRPr="00F83C1D">
        <w:rPr>
          <w:rFonts w:cs="Arial"/>
          <w:sz w:val="20"/>
        </w:rPr>
        <w:t>• Además del</w:t>
      </w:r>
      <w:r w:rsidR="00F83C1D">
        <w:rPr>
          <w:rFonts w:cs="Arial"/>
          <w:sz w:val="20"/>
        </w:rPr>
        <w:t xml:space="preserve"> </w:t>
      </w:r>
      <w:r w:rsidR="004B44F3" w:rsidRPr="00F83C1D">
        <w:rPr>
          <w:rFonts w:cs="Arial"/>
          <w:sz w:val="20"/>
        </w:rPr>
        <w:t>sexo</w:t>
      </w:r>
      <w:r w:rsidRPr="00F83C1D">
        <w:rPr>
          <w:rFonts w:cs="Arial"/>
          <w:sz w:val="20"/>
        </w:rPr>
        <w:t xml:space="preserve">, otros factores, como por ejemplo la discapacidad, no justifican diferencias salariales para empleos similares, en consonancia con la Directiva de igualdad de trato de la Unión Europea de 2000. Es preciso tener en cuenta la discapacidad en la legislación y las políticas en relación con la transparencia salarial. </w:t>
      </w:r>
    </w:p>
    <w:p w:rsidR="00944A22" w:rsidRPr="00F83C1D" w:rsidRDefault="00944A22" w:rsidP="00944A22">
      <w:pPr>
        <w:jc w:val="both"/>
        <w:rPr>
          <w:rFonts w:cs="Arial"/>
          <w:sz w:val="20"/>
        </w:rPr>
      </w:pPr>
      <w:r w:rsidRPr="00F83C1D">
        <w:rPr>
          <w:rFonts w:cs="Arial"/>
          <w:sz w:val="20"/>
        </w:rPr>
        <w:t>• La información relativa a la transparencia salarial debe estar a disposición de todas las mujeres con discapacidad en varios formatos accesibles de comunicación, incluyendo formato de lectura fácil y documentos digitales accesibles.</w:t>
      </w:r>
    </w:p>
    <w:p w:rsidR="00944A22" w:rsidRPr="00F83C1D" w:rsidRDefault="00944A22" w:rsidP="00944A22">
      <w:pPr>
        <w:jc w:val="both"/>
        <w:rPr>
          <w:rFonts w:cs="Arial"/>
          <w:sz w:val="20"/>
        </w:rPr>
      </w:pPr>
      <w:r w:rsidRPr="00F83C1D">
        <w:rPr>
          <w:rFonts w:cs="Arial"/>
          <w:sz w:val="20"/>
        </w:rPr>
        <w:t>• La legislación debe contemplar sanciones eficaces y proporcionadas para las empresas, así como medidas compensatorias para las víctimas de discriminación. Las indemnizaciones deben estar a disposición de todas las mujeres, independientemente de su situación de capacidad jurídica limitada (por ejemplo, en regímenes de tutela o curatela).</w:t>
      </w:r>
    </w:p>
    <w:p w:rsidR="00944A22" w:rsidRDefault="00944A22" w:rsidP="00944A22">
      <w:pPr>
        <w:jc w:val="both"/>
        <w:rPr>
          <w:rFonts w:cs="Arial"/>
          <w:sz w:val="20"/>
        </w:rPr>
      </w:pPr>
      <w:r w:rsidRPr="00F83C1D">
        <w:rPr>
          <w:rFonts w:cs="Arial"/>
          <w:sz w:val="20"/>
        </w:rPr>
        <w:t xml:space="preserve">• Los órganos de igualdad deben disponer de acceso a los informes salariales y contar con los medios necesarios para prestar apoyo en caso de denuncia de desigualdades salariales por parte de mujeres con discapacidad.  </w:t>
      </w:r>
    </w:p>
    <w:p w:rsidR="00F83C1D" w:rsidRDefault="00F83C1D" w:rsidP="00F83C1D">
      <w:pPr>
        <w:jc w:val="right"/>
        <w:rPr>
          <w:rFonts w:cs="Arial"/>
          <w:sz w:val="20"/>
        </w:rPr>
      </w:pPr>
      <w:r>
        <w:rPr>
          <w:rFonts w:cs="Arial"/>
          <w:sz w:val="20"/>
        </w:rPr>
        <w:t>Mayo de 2020</w:t>
      </w:r>
    </w:p>
    <w:p w:rsidR="00F83C1D" w:rsidRPr="00F83C1D" w:rsidRDefault="00F83C1D" w:rsidP="00F83C1D">
      <w:pPr>
        <w:jc w:val="right"/>
        <w:rPr>
          <w:rFonts w:cs="Arial"/>
          <w:sz w:val="20"/>
        </w:rPr>
      </w:pPr>
    </w:p>
    <w:p w:rsidR="00944A22" w:rsidRDefault="00F83C1D" w:rsidP="00F83C1D">
      <w:pPr>
        <w:tabs>
          <w:tab w:val="left" w:pos="567"/>
        </w:tabs>
        <w:spacing w:after="0" w:line="240" w:lineRule="auto"/>
        <w:jc w:val="center"/>
        <w:rPr>
          <w:rFonts w:cs="Arial"/>
          <w:bCs/>
          <w:szCs w:val="24"/>
        </w:rPr>
      </w:pPr>
      <w:hyperlink r:id="rId10" w:history="1">
        <w:r w:rsidRPr="005C739C">
          <w:rPr>
            <w:rStyle w:val="Hipervnculo"/>
            <w:rFonts w:cs="Arial"/>
            <w:bCs/>
            <w:szCs w:val="24"/>
          </w:rPr>
          <w:t>www.cermi.es</w:t>
        </w:r>
      </w:hyperlink>
    </w:p>
    <w:p w:rsidR="00F83C1D" w:rsidRDefault="00F83C1D" w:rsidP="00F83C1D">
      <w:pPr>
        <w:tabs>
          <w:tab w:val="left" w:pos="567"/>
        </w:tabs>
        <w:spacing w:after="0" w:line="240" w:lineRule="auto"/>
        <w:jc w:val="center"/>
        <w:rPr>
          <w:rFonts w:cs="Arial"/>
          <w:bCs/>
          <w:szCs w:val="24"/>
        </w:rPr>
      </w:pPr>
      <w:hyperlink r:id="rId11" w:history="1">
        <w:r w:rsidRPr="005C739C">
          <w:rPr>
            <w:rStyle w:val="Hipervnculo"/>
            <w:rFonts w:cs="Arial"/>
            <w:bCs/>
            <w:szCs w:val="24"/>
          </w:rPr>
          <w:t>www.fundacioncermimujeres.es</w:t>
        </w:r>
      </w:hyperlink>
    </w:p>
    <w:p w:rsidR="00F83C1D" w:rsidRPr="00F83C1D" w:rsidRDefault="00F83C1D" w:rsidP="00F83C1D">
      <w:pPr>
        <w:tabs>
          <w:tab w:val="left" w:pos="567"/>
        </w:tabs>
        <w:spacing w:after="0" w:line="240" w:lineRule="auto"/>
        <w:jc w:val="center"/>
        <w:rPr>
          <w:rFonts w:cs="Arial"/>
          <w:bCs/>
          <w:szCs w:val="24"/>
        </w:rPr>
      </w:pPr>
    </w:p>
    <w:sectPr w:rsidR="00F83C1D" w:rsidRPr="00F83C1D" w:rsidSect="005F57E5">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8A3" w:rsidRDefault="006468A3" w:rsidP="0087120F">
      <w:pPr>
        <w:spacing w:after="0" w:line="240" w:lineRule="auto"/>
      </w:pPr>
      <w:r>
        <w:separator/>
      </w:r>
    </w:p>
  </w:endnote>
  <w:endnote w:type="continuationSeparator" w:id="0">
    <w:p w:rsidR="006468A3" w:rsidRDefault="006468A3" w:rsidP="008712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Helvetica Neue"/>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43827"/>
      <w:docPartObj>
        <w:docPartGallery w:val="Page Numbers (Bottom of Page)"/>
        <w:docPartUnique/>
      </w:docPartObj>
    </w:sdtPr>
    <w:sdtContent>
      <w:p w:rsidR="00F83C1D" w:rsidRDefault="00F83C1D">
        <w:pPr>
          <w:pStyle w:val="Piedepgina"/>
          <w:jc w:val="right"/>
        </w:pPr>
        <w:fldSimple w:instr=" PAGE   \* MERGEFORMAT ">
          <w:r w:rsidR="00296468">
            <w:rPr>
              <w:noProof/>
            </w:rPr>
            <w:t>2</w:t>
          </w:r>
        </w:fldSimple>
      </w:p>
    </w:sdtContent>
  </w:sdt>
  <w:p w:rsidR="00F83C1D" w:rsidRDefault="00F83C1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8A3" w:rsidRDefault="006468A3" w:rsidP="0087120F">
      <w:pPr>
        <w:spacing w:after="0" w:line="240" w:lineRule="auto"/>
      </w:pPr>
      <w:r>
        <w:separator/>
      </w:r>
    </w:p>
  </w:footnote>
  <w:footnote w:type="continuationSeparator" w:id="0">
    <w:p w:rsidR="006468A3" w:rsidRDefault="006468A3" w:rsidP="008712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20F" w:rsidRDefault="0087120F" w:rsidP="0087120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B1281"/>
    <w:multiLevelType w:val="hybridMultilevel"/>
    <w:tmpl w:val="278A35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8F5EA2"/>
    <w:multiLevelType w:val="hybridMultilevel"/>
    <w:tmpl w:val="526AFC34"/>
    <w:lvl w:ilvl="0" w:tplc="C1A4326A">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A06B49"/>
    <w:multiLevelType w:val="multilevel"/>
    <w:tmpl w:val="44DAD03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
    <w:nsid w:val="26D625D7"/>
    <w:multiLevelType w:val="hybridMultilevel"/>
    <w:tmpl w:val="BA18C24C"/>
    <w:lvl w:ilvl="0" w:tplc="8886253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736036D"/>
    <w:multiLevelType w:val="hybridMultilevel"/>
    <w:tmpl w:val="39A4A06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6BB2F70"/>
    <w:multiLevelType w:val="multilevel"/>
    <w:tmpl w:val="432A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7C3C2C"/>
    <w:multiLevelType w:val="hybridMultilevel"/>
    <w:tmpl w:val="5426B8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BCF6354"/>
    <w:multiLevelType w:val="hybridMultilevel"/>
    <w:tmpl w:val="A740BF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64F1F0B"/>
    <w:multiLevelType w:val="hybridMultilevel"/>
    <w:tmpl w:val="0AAA9A9A"/>
    <w:lvl w:ilvl="0" w:tplc="0C0A0009">
      <w:start w:val="1"/>
      <w:numFmt w:val="bullet"/>
      <w:lvlText w:val=""/>
      <w:lvlJc w:val="left"/>
      <w:pPr>
        <w:ind w:left="360" w:hanging="360"/>
      </w:pPr>
      <w:rPr>
        <w:rFonts w:ascii="Wingdings" w:hAnsi="Wingdings" w:hint="default"/>
      </w:rPr>
    </w:lvl>
    <w:lvl w:ilvl="1" w:tplc="0C0A0001">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696335E3"/>
    <w:multiLevelType w:val="singleLevel"/>
    <w:tmpl w:val="6C603318"/>
    <w:lvl w:ilvl="0">
      <w:start w:val="1"/>
      <w:numFmt w:val="decimal"/>
      <w:lvlText w:val="%1."/>
      <w:lvlJc w:val="left"/>
      <w:pPr>
        <w:ind w:left="720" w:hanging="360"/>
      </w:pPr>
      <w:rPr>
        <w:rFonts w:hint="default"/>
      </w:rPr>
    </w:lvl>
  </w:abstractNum>
  <w:abstractNum w:abstractNumId="10">
    <w:nsid w:val="69DD1116"/>
    <w:multiLevelType w:val="hybridMultilevel"/>
    <w:tmpl w:val="4EA818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F97530E"/>
    <w:multiLevelType w:val="hybridMultilevel"/>
    <w:tmpl w:val="7E96CA7E"/>
    <w:lvl w:ilvl="0" w:tplc="3A764F6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FF40C82"/>
    <w:multiLevelType w:val="hybridMultilevel"/>
    <w:tmpl w:val="F050E7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11"/>
  </w:num>
  <w:num w:numId="5">
    <w:abstractNumId w:val="12"/>
  </w:num>
  <w:num w:numId="6">
    <w:abstractNumId w:val="0"/>
  </w:num>
  <w:num w:numId="7">
    <w:abstractNumId w:val="10"/>
  </w:num>
  <w:num w:numId="8">
    <w:abstractNumId w:val="6"/>
  </w:num>
  <w:num w:numId="9">
    <w:abstractNumId w:val="3"/>
  </w:num>
  <w:num w:numId="10">
    <w:abstractNumId w:val="9"/>
  </w:num>
  <w:num w:numId="11">
    <w:abstractNumId w:val="5"/>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87120F"/>
    <w:rsid w:val="00037064"/>
    <w:rsid w:val="00055C29"/>
    <w:rsid w:val="00070655"/>
    <w:rsid w:val="000B27EE"/>
    <w:rsid w:val="001209CD"/>
    <w:rsid w:val="00151306"/>
    <w:rsid w:val="001D0319"/>
    <w:rsid w:val="002261ED"/>
    <w:rsid w:val="0024223D"/>
    <w:rsid w:val="002946B2"/>
    <w:rsid w:val="00296468"/>
    <w:rsid w:val="002A507B"/>
    <w:rsid w:val="002F1FA8"/>
    <w:rsid w:val="00330701"/>
    <w:rsid w:val="0033074D"/>
    <w:rsid w:val="003A434A"/>
    <w:rsid w:val="00422208"/>
    <w:rsid w:val="004875E5"/>
    <w:rsid w:val="004A4946"/>
    <w:rsid w:val="004B0777"/>
    <w:rsid w:val="004B44F3"/>
    <w:rsid w:val="004B72B5"/>
    <w:rsid w:val="00556DDD"/>
    <w:rsid w:val="005D2047"/>
    <w:rsid w:val="005F57E5"/>
    <w:rsid w:val="006468A3"/>
    <w:rsid w:val="00785D8B"/>
    <w:rsid w:val="00791ABA"/>
    <w:rsid w:val="008052E9"/>
    <w:rsid w:val="00817436"/>
    <w:rsid w:val="00827946"/>
    <w:rsid w:val="0087120F"/>
    <w:rsid w:val="00874D00"/>
    <w:rsid w:val="00884C8B"/>
    <w:rsid w:val="008B0624"/>
    <w:rsid w:val="008B0A1F"/>
    <w:rsid w:val="008C7AF4"/>
    <w:rsid w:val="0090319F"/>
    <w:rsid w:val="0090483B"/>
    <w:rsid w:val="00917797"/>
    <w:rsid w:val="009323A7"/>
    <w:rsid w:val="00944A22"/>
    <w:rsid w:val="009A60A9"/>
    <w:rsid w:val="00A25C0D"/>
    <w:rsid w:val="00A3268B"/>
    <w:rsid w:val="00A50A7B"/>
    <w:rsid w:val="00A57D69"/>
    <w:rsid w:val="00AE06EF"/>
    <w:rsid w:val="00B320E5"/>
    <w:rsid w:val="00B514BC"/>
    <w:rsid w:val="00B956C6"/>
    <w:rsid w:val="00BD3B29"/>
    <w:rsid w:val="00BE1159"/>
    <w:rsid w:val="00C100D7"/>
    <w:rsid w:val="00C33ADE"/>
    <w:rsid w:val="00C7102B"/>
    <w:rsid w:val="00C84B4D"/>
    <w:rsid w:val="00CD4728"/>
    <w:rsid w:val="00D06497"/>
    <w:rsid w:val="00D709B1"/>
    <w:rsid w:val="00D77CFA"/>
    <w:rsid w:val="00DB287B"/>
    <w:rsid w:val="00DF5C32"/>
    <w:rsid w:val="00E35538"/>
    <w:rsid w:val="00E416D0"/>
    <w:rsid w:val="00E562EB"/>
    <w:rsid w:val="00ED1C24"/>
    <w:rsid w:val="00F04FC8"/>
    <w:rsid w:val="00F24C15"/>
    <w:rsid w:val="00F6515C"/>
    <w:rsid w:val="00F83C1D"/>
    <w:rsid w:val="00F876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7E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12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120F"/>
  </w:style>
  <w:style w:type="paragraph" w:styleId="Piedepgina">
    <w:name w:val="footer"/>
    <w:basedOn w:val="Normal"/>
    <w:link w:val="PiedepginaCar"/>
    <w:uiPriority w:val="99"/>
    <w:unhideWhenUsed/>
    <w:rsid w:val="008712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120F"/>
  </w:style>
  <w:style w:type="character" w:styleId="Textoennegrita">
    <w:name w:val="Strong"/>
    <w:uiPriority w:val="22"/>
    <w:qFormat/>
    <w:rsid w:val="0090319F"/>
    <w:rPr>
      <w:b/>
      <w:bCs/>
    </w:rPr>
  </w:style>
  <w:style w:type="paragraph" w:styleId="Prrafodelista">
    <w:name w:val="List Paragraph"/>
    <w:basedOn w:val="Normal"/>
    <w:uiPriority w:val="34"/>
    <w:qFormat/>
    <w:rsid w:val="0090319F"/>
    <w:pPr>
      <w:spacing w:before="100" w:after="200" w:line="276" w:lineRule="auto"/>
      <w:ind w:left="720"/>
      <w:contextualSpacing/>
    </w:pPr>
    <w:rPr>
      <w:rFonts w:asciiTheme="minorHAnsi" w:eastAsiaTheme="minorEastAsia" w:hAnsiTheme="minorHAnsi"/>
      <w:sz w:val="20"/>
      <w:szCs w:val="20"/>
    </w:rPr>
  </w:style>
  <w:style w:type="table" w:styleId="Tablaconcuadrcula">
    <w:name w:val="Table Grid"/>
    <w:basedOn w:val="Tablanormal"/>
    <w:uiPriority w:val="39"/>
    <w:rsid w:val="00422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3268B"/>
    <w:pPr>
      <w:autoSpaceDE w:val="0"/>
      <w:autoSpaceDN w:val="0"/>
      <w:adjustRightInd w:val="0"/>
      <w:spacing w:after="0" w:line="240" w:lineRule="auto"/>
    </w:pPr>
    <w:rPr>
      <w:rFonts w:ascii="Helvetica Neue" w:eastAsiaTheme="minorEastAsia" w:hAnsi="Helvetica Neue" w:cs="Helvetica Neue"/>
      <w:color w:val="000000"/>
      <w:szCs w:val="24"/>
    </w:rPr>
  </w:style>
  <w:style w:type="character" w:customStyle="1" w:styleId="A6">
    <w:name w:val="A6"/>
    <w:uiPriority w:val="99"/>
    <w:rsid w:val="00A3268B"/>
    <w:rPr>
      <w:rFonts w:cs="Helvetica Neue"/>
      <w:color w:val="000000"/>
      <w:sz w:val="17"/>
      <w:szCs w:val="17"/>
    </w:rPr>
  </w:style>
  <w:style w:type="paragraph" w:styleId="NormalWeb">
    <w:name w:val="Normal (Web)"/>
    <w:basedOn w:val="Normal"/>
    <w:uiPriority w:val="99"/>
    <w:semiHidden/>
    <w:unhideWhenUsed/>
    <w:rsid w:val="009A60A9"/>
    <w:pPr>
      <w:spacing w:after="150" w:line="240" w:lineRule="auto"/>
    </w:pPr>
    <w:rPr>
      <w:rFonts w:ascii="Times New Roman" w:eastAsia="Times New Roman" w:hAnsi="Times New Roman" w:cs="Times New Roman"/>
      <w:szCs w:val="24"/>
      <w:lang w:eastAsia="es-ES"/>
    </w:rPr>
  </w:style>
  <w:style w:type="character" w:styleId="nfasis">
    <w:name w:val="Emphasis"/>
    <w:basedOn w:val="Fuentedeprrafopredeter"/>
    <w:uiPriority w:val="20"/>
    <w:qFormat/>
    <w:rsid w:val="001209CD"/>
    <w:rPr>
      <w:i/>
      <w:iCs/>
    </w:rPr>
  </w:style>
  <w:style w:type="character" w:styleId="Hipervnculo">
    <w:name w:val="Hyperlink"/>
    <w:basedOn w:val="Fuentedeprrafopredeter"/>
    <w:uiPriority w:val="99"/>
    <w:unhideWhenUsed/>
    <w:rsid w:val="00D06497"/>
    <w:rPr>
      <w:color w:val="0000FF"/>
      <w:u w:val="single"/>
    </w:rPr>
  </w:style>
  <w:style w:type="character" w:customStyle="1" w:styleId="italic1">
    <w:name w:val="italic1"/>
    <w:basedOn w:val="Fuentedeprrafopredeter"/>
    <w:rsid w:val="00D06497"/>
    <w:rPr>
      <w:i/>
      <w:iCs/>
    </w:rPr>
  </w:style>
  <w:style w:type="character" w:customStyle="1" w:styleId="sup1">
    <w:name w:val="sup1"/>
    <w:basedOn w:val="Fuentedeprrafopredeter"/>
    <w:rsid w:val="00D06497"/>
    <w:rPr>
      <w:sz w:val="19"/>
      <w:szCs w:val="19"/>
      <w:vertAlign w:val="superscript"/>
    </w:rPr>
  </w:style>
  <w:style w:type="paragraph" w:customStyle="1" w:styleId="Pa6">
    <w:name w:val="Pa6"/>
    <w:basedOn w:val="Default"/>
    <w:next w:val="Default"/>
    <w:uiPriority w:val="99"/>
    <w:rsid w:val="00A50A7B"/>
    <w:pPr>
      <w:spacing w:line="241" w:lineRule="atLeast"/>
    </w:pPr>
    <w:rPr>
      <w:rFonts w:eastAsiaTheme="minorHAnsi" w:cstheme="minorBidi"/>
      <w:color w:val="auto"/>
    </w:rPr>
  </w:style>
  <w:style w:type="paragraph" w:styleId="Textodeglobo">
    <w:name w:val="Balloon Text"/>
    <w:basedOn w:val="Normal"/>
    <w:link w:val="TextodegloboCar"/>
    <w:uiPriority w:val="99"/>
    <w:semiHidden/>
    <w:unhideWhenUsed/>
    <w:rsid w:val="00ED1C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1C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6232659">
      <w:bodyDiv w:val="1"/>
      <w:marLeft w:val="0"/>
      <w:marRight w:val="0"/>
      <w:marTop w:val="0"/>
      <w:marBottom w:val="0"/>
      <w:divBdr>
        <w:top w:val="none" w:sz="0" w:space="0" w:color="auto"/>
        <w:left w:val="none" w:sz="0" w:space="0" w:color="auto"/>
        <w:bottom w:val="none" w:sz="0" w:space="0" w:color="auto"/>
        <w:right w:val="none" w:sz="0" w:space="0" w:color="auto"/>
      </w:divBdr>
      <w:divsChild>
        <w:div w:id="52971012">
          <w:marLeft w:val="0"/>
          <w:marRight w:val="0"/>
          <w:marTop w:val="0"/>
          <w:marBottom w:val="0"/>
          <w:divBdr>
            <w:top w:val="none" w:sz="0" w:space="0" w:color="auto"/>
            <w:left w:val="none" w:sz="0" w:space="0" w:color="auto"/>
            <w:bottom w:val="none" w:sz="0" w:space="0" w:color="auto"/>
            <w:right w:val="none" w:sz="0" w:space="0" w:color="auto"/>
          </w:divBdr>
          <w:divsChild>
            <w:div w:id="614869645">
              <w:marLeft w:val="0"/>
              <w:marRight w:val="0"/>
              <w:marTop w:val="0"/>
              <w:marBottom w:val="0"/>
              <w:divBdr>
                <w:top w:val="none" w:sz="0" w:space="0" w:color="auto"/>
                <w:left w:val="none" w:sz="0" w:space="0" w:color="auto"/>
                <w:bottom w:val="none" w:sz="0" w:space="0" w:color="auto"/>
                <w:right w:val="none" w:sz="0" w:space="0" w:color="auto"/>
              </w:divBdr>
              <w:divsChild>
                <w:div w:id="932053330">
                  <w:marLeft w:val="0"/>
                  <w:marRight w:val="0"/>
                  <w:marTop w:val="300"/>
                  <w:marBottom w:val="0"/>
                  <w:divBdr>
                    <w:top w:val="none" w:sz="0" w:space="0" w:color="auto"/>
                    <w:left w:val="none" w:sz="0" w:space="0" w:color="auto"/>
                    <w:bottom w:val="none" w:sz="0" w:space="0" w:color="auto"/>
                    <w:right w:val="none" w:sz="0" w:space="0" w:color="auto"/>
                  </w:divBdr>
                  <w:divsChild>
                    <w:div w:id="1444619288">
                      <w:marLeft w:val="-225"/>
                      <w:marRight w:val="-225"/>
                      <w:marTop w:val="0"/>
                      <w:marBottom w:val="0"/>
                      <w:divBdr>
                        <w:top w:val="none" w:sz="0" w:space="0" w:color="auto"/>
                        <w:left w:val="none" w:sz="0" w:space="0" w:color="auto"/>
                        <w:bottom w:val="none" w:sz="0" w:space="0" w:color="auto"/>
                        <w:right w:val="none" w:sz="0" w:space="0" w:color="auto"/>
                      </w:divBdr>
                      <w:divsChild>
                        <w:div w:id="1764258699">
                          <w:marLeft w:val="0"/>
                          <w:marRight w:val="0"/>
                          <w:marTop w:val="0"/>
                          <w:marBottom w:val="0"/>
                          <w:divBdr>
                            <w:top w:val="none" w:sz="0" w:space="0" w:color="auto"/>
                            <w:left w:val="none" w:sz="0" w:space="0" w:color="auto"/>
                            <w:bottom w:val="none" w:sz="0" w:space="0" w:color="auto"/>
                            <w:right w:val="none" w:sz="0" w:space="0" w:color="auto"/>
                          </w:divBdr>
                          <w:divsChild>
                            <w:div w:id="1058014084">
                              <w:marLeft w:val="0"/>
                              <w:marRight w:val="0"/>
                              <w:marTop w:val="0"/>
                              <w:marBottom w:val="0"/>
                              <w:divBdr>
                                <w:top w:val="none" w:sz="0" w:space="0" w:color="auto"/>
                                <w:left w:val="none" w:sz="0" w:space="0" w:color="auto"/>
                                <w:bottom w:val="none" w:sz="0" w:space="0" w:color="auto"/>
                                <w:right w:val="none" w:sz="0" w:space="0" w:color="auto"/>
                              </w:divBdr>
                              <w:divsChild>
                                <w:div w:id="1400054554">
                                  <w:marLeft w:val="0"/>
                                  <w:marRight w:val="0"/>
                                  <w:marTop w:val="0"/>
                                  <w:marBottom w:val="0"/>
                                  <w:divBdr>
                                    <w:top w:val="none" w:sz="0" w:space="0" w:color="auto"/>
                                    <w:left w:val="none" w:sz="0" w:space="0" w:color="auto"/>
                                    <w:bottom w:val="none" w:sz="0" w:space="0" w:color="auto"/>
                                    <w:right w:val="none" w:sz="0" w:space="0" w:color="auto"/>
                                  </w:divBdr>
                                  <w:divsChild>
                                    <w:div w:id="1298560441">
                                      <w:marLeft w:val="0"/>
                                      <w:marRight w:val="0"/>
                                      <w:marTop w:val="0"/>
                                      <w:marBottom w:val="0"/>
                                      <w:divBdr>
                                        <w:top w:val="none" w:sz="0" w:space="0" w:color="auto"/>
                                        <w:left w:val="none" w:sz="0" w:space="0" w:color="auto"/>
                                        <w:bottom w:val="none" w:sz="0" w:space="0" w:color="auto"/>
                                        <w:right w:val="none" w:sz="0" w:space="0" w:color="auto"/>
                                      </w:divBdr>
                                      <w:divsChild>
                                        <w:div w:id="7610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740799">
      <w:bodyDiv w:val="1"/>
      <w:marLeft w:val="0"/>
      <w:marRight w:val="0"/>
      <w:marTop w:val="0"/>
      <w:marBottom w:val="0"/>
      <w:divBdr>
        <w:top w:val="none" w:sz="0" w:space="0" w:color="auto"/>
        <w:left w:val="none" w:sz="0" w:space="0" w:color="auto"/>
        <w:bottom w:val="none" w:sz="0" w:space="0" w:color="auto"/>
        <w:right w:val="none" w:sz="0" w:space="0" w:color="auto"/>
      </w:divBdr>
    </w:div>
    <w:div w:id="610548437">
      <w:bodyDiv w:val="1"/>
      <w:marLeft w:val="0"/>
      <w:marRight w:val="0"/>
      <w:marTop w:val="0"/>
      <w:marBottom w:val="0"/>
      <w:divBdr>
        <w:top w:val="none" w:sz="0" w:space="0" w:color="auto"/>
        <w:left w:val="none" w:sz="0" w:space="0" w:color="auto"/>
        <w:bottom w:val="none" w:sz="0" w:space="0" w:color="auto"/>
        <w:right w:val="none" w:sz="0" w:space="0" w:color="auto"/>
      </w:divBdr>
    </w:div>
    <w:div w:id="916939976">
      <w:bodyDiv w:val="1"/>
      <w:marLeft w:val="0"/>
      <w:marRight w:val="0"/>
      <w:marTop w:val="0"/>
      <w:marBottom w:val="0"/>
      <w:divBdr>
        <w:top w:val="none" w:sz="0" w:space="0" w:color="auto"/>
        <w:left w:val="none" w:sz="0" w:space="0" w:color="auto"/>
        <w:bottom w:val="none" w:sz="0" w:space="0" w:color="auto"/>
        <w:right w:val="none" w:sz="0" w:space="0" w:color="auto"/>
      </w:divBdr>
      <w:divsChild>
        <w:div w:id="734352324">
          <w:marLeft w:val="0"/>
          <w:marRight w:val="0"/>
          <w:marTop w:val="0"/>
          <w:marBottom w:val="0"/>
          <w:divBdr>
            <w:top w:val="none" w:sz="0" w:space="0" w:color="auto"/>
            <w:left w:val="none" w:sz="0" w:space="0" w:color="auto"/>
            <w:bottom w:val="none" w:sz="0" w:space="0" w:color="auto"/>
            <w:right w:val="none" w:sz="0" w:space="0" w:color="auto"/>
          </w:divBdr>
          <w:divsChild>
            <w:div w:id="1426615732">
              <w:marLeft w:val="0"/>
              <w:marRight w:val="0"/>
              <w:marTop w:val="0"/>
              <w:marBottom w:val="0"/>
              <w:divBdr>
                <w:top w:val="none" w:sz="0" w:space="0" w:color="auto"/>
                <w:left w:val="none" w:sz="0" w:space="0" w:color="auto"/>
                <w:bottom w:val="none" w:sz="0" w:space="0" w:color="auto"/>
                <w:right w:val="none" w:sz="0" w:space="0" w:color="auto"/>
              </w:divBdr>
              <w:divsChild>
                <w:div w:id="990014647">
                  <w:marLeft w:val="0"/>
                  <w:marRight w:val="0"/>
                  <w:marTop w:val="300"/>
                  <w:marBottom w:val="0"/>
                  <w:divBdr>
                    <w:top w:val="none" w:sz="0" w:space="0" w:color="auto"/>
                    <w:left w:val="none" w:sz="0" w:space="0" w:color="auto"/>
                    <w:bottom w:val="none" w:sz="0" w:space="0" w:color="auto"/>
                    <w:right w:val="none" w:sz="0" w:space="0" w:color="auto"/>
                  </w:divBdr>
                  <w:divsChild>
                    <w:div w:id="856432463">
                      <w:marLeft w:val="-225"/>
                      <w:marRight w:val="-225"/>
                      <w:marTop w:val="0"/>
                      <w:marBottom w:val="0"/>
                      <w:divBdr>
                        <w:top w:val="none" w:sz="0" w:space="0" w:color="auto"/>
                        <w:left w:val="none" w:sz="0" w:space="0" w:color="auto"/>
                        <w:bottom w:val="none" w:sz="0" w:space="0" w:color="auto"/>
                        <w:right w:val="none" w:sz="0" w:space="0" w:color="auto"/>
                      </w:divBdr>
                      <w:divsChild>
                        <w:div w:id="128132850">
                          <w:marLeft w:val="0"/>
                          <w:marRight w:val="0"/>
                          <w:marTop w:val="0"/>
                          <w:marBottom w:val="0"/>
                          <w:divBdr>
                            <w:top w:val="none" w:sz="0" w:space="0" w:color="auto"/>
                            <w:left w:val="none" w:sz="0" w:space="0" w:color="auto"/>
                            <w:bottom w:val="none" w:sz="0" w:space="0" w:color="auto"/>
                            <w:right w:val="none" w:sz="0" w:space="0" w:color="auto"/>
                          </w:divBdr>
                          <w:divsChild>
                            <w:div w:id="448622583">
                              <w:marLeft w:val="0"/>
                              <w:marRight w:val="0"/>
                              <w:marTop w:val="0"/>
                              <w:marBottom w:val="0"/>
                              <w:divBdr>
                                <w:top w:val="none" w:sz="0" w:space="0" w:color="auto"/>
                                <w:left w:val="none" w:sz="0" w:space="0" w:color="auto"/>
                                <w:bottom w:val="none" w:sz="0" w:space="0" w:color="auto"/>
                                <w:right w:val="none" w:sz="0" w:space="0" w:color="auto"/>
                              </w:divBdr>
                              <w:divsChild>
                                <w:div w:id="745610429">
                                  <w:marLeft w:val="0"/>
                                  <w:marRight w:val="0"/>
                                  <w:marTop w:val="0"/>
                                  <w:marBottom w:val="0"/>
                                  <w:divBdr>
                                    <w:top w:val="none" w:sz="0" w:space="0" w:color="auto"/>
                                    <w:left w:val="none" w:sz="0" w:space="0" w:color="auto"/>
                                    <w:bottom w:val="none" w:sz="0" w:space="0" w:color="auto"/>
                                    <w:right w:val="none" w:sz="0" w:space="0" w:color="auto"/>
                                  </w:divBdr>
                                  <w:divsChild>
                                    <w:div w:id="739908728">
                                      <w:marLeft w:val="0"/>
                                      <w:marRight w:val="0"/>
                                      <w:marTop w:val="0"/>
                                      <w:marBottom w:val="0"/>
                                      <w:divBdr>
                                        <w:top w:val="none" w:sz="0" w:space="0" w:color="auto"/>
                                        <w:left w:val="none" w:sz="0" w:space="0" w:color="auto"/>
                                        <w:bottom w:val="none" w:sz="0" w:space="0" w:color="auto"/>
                                        <w:right w:val="none" w:sz="0" w:space="0" w:color="auto"/>
                                      </w:divBdr>
                                      <w:divsChild>
                                        <w:div w:id="1341008136">
                                          <w:marLeft w:val="0"/>
                                          <w:marRight w:val="0"/>
                                          <w:marTop w:val="0"/>
                                          <w:marBottom w:val="0"/>
                                          <w:divBdr>
                                            <w:top w:val="none" w:sz="0" w:space="0" w:color="auto"/>
                                            <w:left w:val="none" w:sz="0" w:space="0" w:color="auto"/>
                                            <w:bottom w:val="none" w:sz="0" w:space="0" w:color="auto"/>
                                            <w:right w:val="none" w:sz="0" w:space="0" w:color="auto"/>
                                          </w:divBdr>
                                          <w:divsChild>
                                            <w:div w:id="1353915638">
                                              <w:marLeft w:val="0"/>
                                              <w:marRight w:val="0"/>
                                              <w:marTop w:val="0"/>
                                              <w:marBottom w:val="150"/>
                                              <w:divBdr>
                                                <w:top w:val="none" w:sz="0" w:space="0" w:color="auto"/>
                                                <w:left w:val="single" w:sz="12" w:space="19" w:color="A52A25"/>
                                                <w:bottom w:val="none" w:sz="0" w:space="0" w:color="auto"/>
                                                <w:right w:val="none" w:sz="0" w:space="0" w:color="auto"/>
                                              </w:divBdr>
                                            </w:div>
                                          </w:divsChild>
                                        </w:div>
                                      </w:divsChild>
                                    </w:div>
                                  </w:divsChild>
                                </w:div>
                              </w:divsChild>
                            </w:div>
                          </w:divsChild>
                        </w:div>
                      </w:divsChild>
                    </w:div>
                  </w:divsChild>
                </w:div>
              </w:divsChild>
            </w:div>
          </w:divsChild>
        </w:div>
      </w:divsChild>
    </w:div>
    <w:div w:id="1677610042">
      <w:bodyDiv w:val="1"/>
      <w:marLeft w:val="0"/>
      <w:marRight w:val="0"/>
      <w:marTop w:val="0"/>
      <w:marBottom w:val="0"/>
      <w:divBdr>
        <w:top w:val="none" w:sz="0" w:space="0" w:color="auto"/>
        <w:left w:val="none" w:sz="0" w:space="0" w:color="auto"/>
        <w:bottom w:val="none" w:sz="0" w:space="0" w:color="auto"/>
        <w:right w:val="none" w:sz="0" w:space="0" w:color="auto"/>
      </w:divBdr>
    </w:div>
    <w:div w:id="178626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acioncermimujeres.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rmi.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4D3B0-84A1-474F-A636-0A59F3BCD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1087</Words>
  <Characters>5979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Lazaro Carrascosa, Mª de la Concepcion</dc:creator>
  <cp:lastModifiedBy>Pilar</cp:lastModifiedBy>
  <cp:revision>3</cp:revision>
  <dcterms:created xsi:type="dcterms:W3CDTF">2020-05-28T13:28:00Z</dcterms:created>
  <dcterms:modified xsi:type="dcterms:W3CDTF">2020-05-28T13:50:00Z</dcterms:modified>
</cp:coreProperties>
</file>