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05F" w:rsidRPr="0090205F" w:rsidRDefault="0090205F" w:rsidP="0090205F">
      <w:pPr>
        <w:pBdr>
          <w:bottom w:val="single" w:sz="12" w:space="1" w:color="auto"/>
        </w:pBdr>
        <w:jc w:val="center"/>
        <w:rPr>
          <w:rFonts w:ascii="Arial" w:hAnsi="Arial" w:cs="Arial"/>
          <w:b/>
          <w:sz w:val="28"/>
          <w:szCs w:val="28"/>
        </w:rPr>
      </w:pPr>
      <w:r w:rsidRPr="0090205F">
        <w:rPr>
          <w:rFonts w:ascii="Arial" w:hAnsi="Arial" w:cs="Arial"/>
          <w:noProof/>
          <w:sz w:val="28"/>
          <w:szCs w:val="28"/>
          <w:lang w:eastAsia="es-ES"/>
        </w:rPr>
        <w:drawing>
          <wp:inline distT="0" distB="0" distL="0" distR="0" wp14:anchorId="05417F05" wp14:editId="135BB50A">
            <wp:extent cx="857250" cy="689223"/>
            <wp:effectExtent l="0" t="0" r="0" b="0"/>
            <wp:docPr id="1" name="Imagen 1" descr="CERMI. Comité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MI. Comité español de representantes de personas con discapacidad. Ir a página de Inic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013" cy="693052"/>
                    </a:xfrm>
                    <a:prstGeom prst="rect">
                      <a:avLst/>
                    </a:prstGeom>
                    <a:noFill/>
                    <a:ln>
                      <a:noFill/>
                    </a:ln>
                  </pic:spPr>
                </pic:pic>
              </a:graphicData>
            </a:graphic>
          </wp:inline>
        </w:drawing>
      </w:r>
    </w:p>
    <w:p w:rsidR="00093E89" w:rsidRPr="0090205F" w:rsidRDefault="0090205F" w:rsidP="0090205F">
      <w:pPr>
        <w:pBdr>
          <w:bottom w:val="single" w:sz="12" w:space="1" w:color="auto"/>
        </w:pBdr>
        <w:jc w:val="both"/>
        <w:rPr>
          <w:rFonts w:ascii="Arial" w:hAnsi="Arial" w:cs="Arial"/>
          <w:b/>
          <w:sz w:val="28"/>
          <w:szCs w:val="28"/>
        </w:rPr>
      </w:pPr>
      <w:r w:rsidRPr="0090205F">
        <w:rPr>
          <w:rFonts w:ascii="Arial" w:hAnsi="Arial" w:cs="Arial"/>
          <w:b/>
          <w:sz w:val="28"/>
          <w:szCs w:val="28"/>
        </w:rPr>
        <w:t xml:space="preserve">Informe del CERMI sobre </w:t>
      </w:r>
      <w:r w:rsidR="00847FCD">
        <w:rPr>
          <w:rFonts w:ascii="Arial" w:hAnsi="Arial" w:cs="Arial"/>
          <w:b/>
          <w:sz w:val="28"/>
          <w:szCs w:val="28"/>
        </w:rPr>
        <w:t xml:space="preserve">aspectos </w:t>
      </w:r>
      <w:r w:rsidRPr="0090205F">
        <w:rPr>
          <w:rFonts w:ascii="Arial" w:hAnsi="Arial" w:cs="Arial"/>
          <w:b/>
          <w:sz w:val="28"/>
          <w:szCs w:val="28"/>
        </w:rPr>
        <w:t xml:space="preserve">de personas con discapacidad y accesibilidad </w:t>
      </w:r>
      <w:r w:rsidR="00847FCD">
        <w:rPr>
          <w:rFonts w:ascii="Arial" w:hAnsi="Arial" w:cs="Arial"/>
          <w:b/>
          <w:sz w:val="28"/>
          <w:szCs w:val="28"/>
        </w:rPr>
        <w:t xml:space="preserve">incluidos </w:t>
      </w:r>
      <w:r w:rsidRPr="0090205F">
        <w:rPr>
          <w:rFonts w:ascii="Arial" w:hAnsi="Arial" w:cs="Arial"/>
          <w:b/>
          <w:sz w:val="28"/>
          <w:szCs w:val="28"/>
        </w:rPr>
        <w:t>en el Real Decreto 1090/2020, de 9 de diciembre, por el que se modifica el Real Decreto 1084/2015, de 4 de diciembre, por el que se desarrolla la Ley 55/2007, de 28 de diciembre, del Cine</w:t>
      </w:r>
    </w:p>
    <w:p w:rsidR="00093E89" w:rsidRPr="0090205F" w:rsidRDefault="00AD3363" w:rsidP="00093E89">
      <w:pPr>
        <w:jc w:val="both"/>
        <w:rPr>
          <w:rFonts w:ascii="Arial" w:hAnsi="Arial" w:cs="Arial"/>
          <w:sz w:val="28"/>
          <w:szCs w:val="28"/>
        </w:rPr>
      </w:pPr>
      <w:r w:rsidRPr="0090205F">
        <w:rPr>
          <w:rFonts w:ascii="Arial" w:hAnsi="Arial" w:cs="Arial"/>
          <w:sz w:val="28"/>
          <w:szCs w:val="28"/>
        </w:rPr>
        <w:t xml:space="preserve">El Consejo de Ministros ha aprobado recientemente </w:t>
      </w:r>
      <w:r w:rsidR="00817D6C" w:rsidRPr="0090205F">
        <w:rPr>
          <w:rFonts w:ascii="Arial" w:hAnsi="Arial" w:cs="Arial"/>
          <w:sz w:val="28"/>
          <w:szCs w:val="28"/>
        </w:rPr>
        <w:t>el</w:t>
      </w:r>
      <w:r w:rsidRPr="0090205F">
        <w:rPr>
          <w:rFonts w:ascii="Arial" w:hAnsi="Arial" w:cs="Arial"/>
          <w:sz w:val="28"/>
          <w:szCs w:val="28"/>
        </w:rPr>
        <w:t xml:space="preserve"> Real Decreto 1090/2020, de 9 de diciembre, por el que se modifica el Real Decreto 1084/2015, de 4 de diciembre, por el que se desarrolla la Ley 55/2007, de 28 de diciembre, del Cine.</w:t>
      </w:r>
      <w:r w:rsidR="0090205F">
        <w:rPr>
          <w:rFonts w:ascii="Arial" w:hAnsi="Arial" w:cs="Arial"/>
          <w:sz w:val="28"/>
          <w:szCs w:val="28"/>
        </w:rPr>
        <w:t xml:space="preserve"> Esta norma se publicó en el número del Boletín Oficial del Estado del 10 de diciembre de 2020.</w:t>
      </w:r>
      <w:bookmarkStart w:id="0" w:name="_GoBack"/>
      <w:bookmarkEnd w:id="0"/>
    </w:p>
    <w:p w:rsidR="00B330D9" w:rsidRPr="0090205F" w:rsidRDefault="008B79A6" w:rsidP="00AD3363">
      <w:pPr>
        <w:jc w:val="both"/>
        <w:rPr>
          <w:rFonts w:ascii="Arial" w:hAnsi="Arial" w:cs="Arial"/>
          <w:sz w:val="28"/>
          <w:szCs w:val="28"/>
        </w:rPr>
      </w:pPr>
      <w:r w:rsidRPr="0090205F">
        <w:rPr>
          <w:rFonts w:ascii="Arial" w:hAnsi="Arial" w:cs="Arial"/>
          <w:sz w:val="28"/>
          <w:szCs w:val="28"/>
        </w:rPr>
        <w:t xml:space="preserve">De conformidad con dicha norma, y en lo que </w:t>
      </w:r>
      <w:r w:rsidR="00817D6C" w:rsidRPr="0090205F">
        <w:rPr>
          <w:rFonts w:ascii="Arial" w:hAnsi="Arial" w:cs="Arial"/>
          <w:sz w:val="28"/>
          <w:szCs w:val="28"/>
        </w:rPr>
        <w:t>respecta a la</w:t>
      </w:r>
      <w:r w:rsidR="0090205F" w:rsidRPr="0090205F">
        <w:rPr>
          <w:rFonts w:ascii="Arial" w:hAnsi="Arial" w:cs="Arial"/>
          <w:sz w:val="28"/>
          <w:szCs w:val="28"/>
        </w:rPr>
        <w:t>s personas con discapacidad</w:t>
      </w:r>
      <w:r w:rsidR="00817D6C" w:rsidRPr="0090205F">
        <w:rPr>
          <w:rFonts w:ascii="Arial" w:hAnsi="Arial" w:cs="Arial"/>
          <w:sz w:val="28"/>
          <w:szCs w:val="28"/>
        </w:rPr>
        <w:t xml:space="preserve"> </w:t>
      </w:r>
      <w:r w:rsidR="0090205F" w:rsidRPr="0090205F">
        <w:rPr>
          <w:rFonts w:ascii="Arial" w:hAnsi="Arial" w:cs="Arial"/>
          <w:sz w:val="28"/>
          <w:szCs w:val="28"/>
        </w:rPr>
        <w:t>y a la accesibilidad</w:t>
      </w:r>
      <w:r w:rsidR="00817D6C" w:rsidRPr="0090205F">
        <w:rPr>
          <w:rFonts w:ascii="Arial" w:hAnsi="Arial" w:cs="Arial"/>
          <w:sz w:val="28"/>
          <w:szCs w:val="28"/>
        </w:rPr>
        <w:t xml:space="preserve">, el </w:t>
      </w:r>
      <w:r w:rsidRPr="0090205F">
        <w:rPr>
          <w:rFonts w:ascii="Arial" w:hAnsi="Arial" w:cs="Arial"/>
          <w:sz w:val="28"/>
          <w:szCs w:val="28"/>
        </w:rPr>
        <w:t xml:space="preserve">nuevo </w:t>
      </w:r>
      <w:r w:rsidR="00817D6C" w:rsidRPr="0090205F">
        <w:rPr>
          <w:rFonts w:ascii="Arial" w:hAnsi="Arial" w:cs="Arial"/>
          <w:sz w:val="28"/>
          <w:szCs w:val="28"/>
        </w:rPr>
        <w:t xml:space="preserve">texto del </w:t>
      </w:r>
      <w:r w:rsidRPr="0090205F">
        <w:rPr>
          <w:rFonts w:ascii="Arial" w:hAnsi="Arial" w:cs="Arial"/>
          <w:sz w:val="28"/>
          <w:szCs w:val="28"/>
        </w:rPr>
        <w:t>reglamento</w:t>
      </w:r>
      <w:r w:rsidR="0090205F" w:rsidRPr="0090205F">
        <w:rPr>
          <w:rFonts w:ascii="Arial" w:hAnsi="Arial" w:cs="Arial"/>
          <w:sz w:val="28"/>
          <w:szCs w:val="28"/>
        </w:rPr>
        <w:t>, recogiendo parte de las demandas y propuestas del</w:t>
      </w:r>
      <w:r w:rsidR="0090205F" w:rsidRPr="00DA5571">
        <w:rPr>
          <w:rFonts w:ascii="Arial" w:hAnsi="Arial" w:cs="Arial"/>
          <w:b/>
          <w:sz w:val="28"/>
          <w:szCs w:val="28"/>
        </w:rPr>
        <w:t xml:space="preserve"> CERMI y de sus Organizaciones miembro</w:t>
      </w:r>
      <w:r w:rsidR="0090205F" w:rsidRPr="0090205F">
        <w:rPr>
          <w:rFonts w:ascii="Arial" w:hAnsi="Arial" w:cs="Arial"/>
          <w:sz w:val="28"/>
          <w:szCs w:val="28"/>
        </w:rPr>
        <w:t>, que formularon sugerencias en la fase de preparación de la norma,</w:t>
      </w:r>
      <w:r w:rsidRPr="0090205F">
        <w:rPr>
          <w:rFonts w:ascii="Arial" w:hAnsi="Arial" w:cs="Arial"/>
          <w:sz w:val="28"/>
          <w:szCs w:val="28"/>
        </w:rPr>
        <w:t xml:space="preserve"> que desarrolla la Ley del Cine contemplará expresamente que:</w:t>
      </w:r>
    </w:p>
    <w:p w:rsidR="00EE277D" w:rsidRPr="0090205F" w:rsidRDefault="0090205F" w:rsidP="00EE277D">
      <w:pPr>
        <w:pStyle w:val="Prrafodelista"/>
        <w:numPr>
          <w:ilvl w:val="0"/>
          <w:numId w:val="1"/>
        </w:numPr>
        <w:jc w:val="both"/>
        <w:rPr>
          <w:rFonts w:ascii="Arial" w:hAnsi="Arial" w:cs="Arial"/>
          <w:sz w:val="28"/>
          <w:szCs w:val="28"/>
        </w:rPr>
      </w:pPr>
      <w:r w:rsidRPr="0090205F">
        <w:rPr>
          <w:rFonts w:ascii="Arial" w:hAnsi="Arial" w:cs="Arial"/>
          <w:sz w:val="28"/>
          <w:szCs w:val="28"/>
        </w:rPr>
        <w:t xml:space="preserve">Art. 16: </w:t>
      </w:r>
      <w:r w:rsidR="00B330D9" w:rsidRPr="0090205F">
        <w:rPr>
          <w:rFonts w:ascii="Arial" w:hAnsi="Arial" w:cs="Arial"/>
          <w:sz w:val="28"/>
          <w:szCs w:val="28"/>
        </w:rPr>
        <w:t xml:space="preserve">“Las personas titulares de las salas de exhibición deberán exponer la siguiente información, en el lugar de las taquillas donde resulte claramente perceptible para el público, así como </w:t>
      </w:r>
      <w:r w:rsidR="00B330D9" w:rsidRPr="0090205F">
        <w:rPr>
          <w:rFonts w:ascii="Arial" w:hAnsi="Arial" w:cs="Arial"/>
          <w:b/>
          <w:sz w:val="28"/>
          <w:szCs w:val="28"/>
        </w:rPr>
        <w:t>de manera accesible para las personas con discapacidad</w:t>
      </w:r>
      <w:r w:rsidR="00EE277D" w:rsidRPr="0090205F">
        <w:rPr>
          <w:rFonts w:ascii="Arial" w:hAnsi="Arial" w:cs="Arial"/>
          <w:b/>
          <w:sz w:val="28"/>
          <w:szCs w:val="28"/>
        </w:rPr>
        <w:t>:</w:t>
      </w:r>
    </w:p>
    <w:p w:rsidR="00EE277D" w:rsidRPr="0090205F" w:rsidRDefault="00EE277D" w:rsidP="00EE277D">
      <w:pPr>
        <w:pStyle w:val="Pa13"/>
        <w:numPr>
          <w:ilvl w:val="0"/>
          <w:numId w:val="2"/>
        </w:numPr>
        <w:spacing w:before="160"/>
        <w:jc w:val="both"/>
        <w:rPr>
          <w:sz w:val="28"/>
          <w:szCs w:val="28"/>
        </w:rPr>
      </w:pPr>
      <w:r w:rsidRPr="0090205F">
        <w:rPr>
          <w:sz w:val="28"/>
          <w:szCs w:val="28"/>
        </w:rPr>
        <w:t>La calificación por grupos de edad de las películas cinematográficas y de los avances que formen parte del programa, según se establece en el artículo 8.3. Dicha calificación deberá ser comunicada a las salas de exhibición por las empresas distribuidoras de las películas programadas.</w:t>
      </w:r>
    </w:p>
    <w:p w:rsidR="00EE277D" w:rsidRPr="0090205F" w:rsidRDefault="00EE277D" w:rsidP="00EE277D">
      <w:pPr>
        <w:pStyle w:val="Pa13"/>
        <w:numPr>
          <w:ilvl w:val="0"/>
          <w:numId w:val="2"/>
        </w:numPr>
        <w:spacing w:before="160"/>
        <w:jc w:val="both"/>
        <w:rPr>
          <w:sz w:val="28"/>
          <w:szCs w:val="28"/>
        </w:rPr>
      </w:pPr>
      <w:r w:rsidRPr="0090205F">
        <w:rPr>
          <w:sz w:val="28"/>
          <w:szCs w:val="28"/>
        </w:rPr>
        <w:t>El precio de las localidades.</w:t>
      </w:r>
    </w:p>
    <w:p w:rsidR="00EE277D" w:rsidRPr="0090205F" w:rsidRDefault="00EE277D" w:rsidP="00EE277D">
      <w:pPr>
        <w:pStyle w:val="Pa13"/>
        <w:numPr>
          <w:ilvl w:val="0"/>
          <w:numId w:val="2"/>
        </w:numPr>
        <w:spacing w:before="160"/>
        <w:jc w:val="both"/>
        <w:rPr>
          <w:sz w:val="28"/>
          <w:szCs w:val="28"/>
        </w:rPr>
      </w:pPr>
      <w:r w:rsidRPr="0090205F">
        <w:rPr>
          <w:sz w:val="28"/>
          <w:szCs w:val="28"/>
        </w:rPr>
        <w:t xml:space="preserve">La prohibición de la grabación de las películas, así como, en su caso, de la introducción de cámaras o cualquier tipo de instrumento destinado a grabar imagen o sonido, establecida en el artículo 15.3 de la Ley 55/2007, de 28 de diciembre, que podrá incluirse junto </w:t>
      </w:r>
      <w:r w:rsidRPr="0090205F">
        <w:rPr>
          <w:sz w:val="28"/>
          <w:szCs w:val="28"/>
        </w:rPr>
        <w:lastRenderedPageBreak/>
        <w:t>con el resto de las condiciones para el ejercicio del derecho de admisión a las salas.</w:t>
      </w:r>
    </w:p>
    <w:p w:rsidR="00EE277D" w:rsidRPr="0090205F" w:rsidRDefault="00EE277D" w:rsidP="00EE277D">
      <w:pPr>
        <w:pStyle w:val="Pa13"/>
        <w:numPr>
          <w:ilvl w:val="0"/>
          <w:numId w:val="2"/>
        </w:numPr>
        <w:spacing w:before="160"/>
        <w:jc w:val="both"/>
        <w:rPr>
          <w:b/>
          <w:sz w:val="28"/>
          <w:szCs w:val="28"/>
        </w:rPr>
      </w:pPr>
      <w:r w:rsidRPr="0090205F">
        <w:rPr>
          <w:b/>
          <w:sz w:val="28"/>
          <w:szCs w:val="28"/>
        </w:rPr>
        <w:t>Los servicios de accesibilidad disponibles, tanto en las películas como en las salas, así como el medio de acceso a los mismos, indicando las fechas, horarios y salas de los pases con accesibilidad.</w:t>
      </w:r>
    </w:p>
    <w:p w:rsidR="00B330D9" w:rsidRPr="0090205F" w:rsidRDefault="00B330D9" w:rsidP="00EE277D">
      <w:pPr>
        <w:pStyle w:val="Prrafodelista"/>
        <w:jc w:val="both"/>
        <w:rPr>
          <w:rFonts w:ascii="Arial" w:hAnsi="Arial" w:cs="Arial"/>
          <w:sz w:val="28"/>
          <w:szCs w:val="28"/>
        </w:rPr>
      </w:pPr>
    </w:p>
    <w:p w:rsidR="0005577F" w:rsidRPr="0090205F" w:rsidRDefault="008B79A6" w:rsidP="0005577F">
      <w:pPr>
        <w:pStyle w:val="Pa11"/>
        <w:numPr>
          <w:ilvl w:val="0"/>
          <w:numId w:val="1"/>
        </w:numPr>
        <w:spacing w:before="160" w:after="160"/>
        <w:jc w:val="both"/>
        <w:rPr>
          <w:color w:val="000000"/>
          <w:sz w:val="28"/>
          <w:szCs w:val="28"/>
        </w:rPr>
      </w:pPr>
      <w:r w:rsidRPr="0090205F">
        <w:rPr>
          <w:sz w:val="28"/>
          <w:szCs w:val="28"/>
        </w:rPr>
        <w:t xml:space="preserve">Art. 18.1 d): </w:t>
      </w:r>
      <w:r w:rsidR="00EE277D" w:rsidRPr="0090205F">
        <w:rPr>
          <w:sz w:val="28"/>
          <w:szCs w:val="28"/>
        </w:rPr>
        <w:t>Se deberá “</w:t>
      </w:r>
      <w:r w:rsidR="0005577F" w:rsidRPr="0090205F">
        <w:rPr>
          <w:b/>
          <w:sz w:val="28"/>
          <w:szCs w:val="28"/>
        </w:rPr>
        <w:t>g</w:t>
      </w:r>
      <w:r w:rsidR="00EE277D" w:rsidRPr="0090205F">
        <w:rPr>
          <w:b/>
          <w:sz w:val="28"/>
          <w:szCs w:val="28"/>
        </w:rPr>
        <w:t>arantizar la accesibilidad a la sala de exhibición</w:t>
      </w:r>
      <w:r w:rsidR="00EE277D" w:rsidRPr="0090205F">
        <w:rPr>
          <w:sz w:val="28"/>
          <w:szCs w:val="28"/>
        </w:rPr>
        <w:t xml:space="preserve"> de las personas con discapacidad, </w:t>
      </w:r>
      <w:r w:rsidR="00EE277D" w:rsidRPr="0090205F">
        <w:rPr>
          <w:b/>
          <w:sz w:val="28"/>
          <w:szCs w:val="28"/>
        </w:rPr>
        <w:t>así como comunicar los servicios</w:t>
      </w:r>
      <w:r w:rsidRPr="0090205F">
        <w:rPr>
          <w:b/>
          <w:sz w:val="28"/>
          <w:szCs w:val="28"/>
        </w:rPr>
        <w:t xml:space="preserve"> de accesibilidad disponibles</w:t>
      </w:r>
      <w:r w:rsidR="00EE277D" w:rsidRPr="0090205F">
        <w:rPr>
          <w:b/>
          <w:sz w:val="28"/>
          <w:szCs w:val="28"/>
        </w:rPr>
        <w:t>»</w:t>
      </w:r>
      <w:r w:rsidR="0005577F" w:rsidRPr="0090205F">
        <w:rPr>
          <w:sz w:val="28"/>
          <w:szCs w:val="28"/>
        </w:rPr>
        <w:t xml:space="preserve"> </w:t>
      </w:r>
    </w:p>
    <w:p w:rsidR="00EE277D" w:rsidRPr="0090205F" w:rsidRDefault="008B79A6" w:rsidP="0005577F">
      <w:pPr>
        <w:pStyle w:val="Pa11"/>
        <w:numPr>
          <w:ilvl w:val="0"/>
          <w:numId w:val="1"/>
        </w:numPr>
        <w:spacing w:before="160" w:after="160"/>
        <w:jc w:val="both"/>
        <w:rPr>
          <w:b/>
          <w:sz w:val="28"/>
          <w:szCs w:val="28"/>
        </w:rPr>
      </w:pPr>
      <w:r w:rsidRPr="0090205F">
        <w:rPr>
          <w:sz w:val="28"/>
          <w:szCs w:val="28"/>
        </w:rPr>
        <w:t>Art. 19:</w:t>
      </w:r>
      <w:r w:rsidR="0005577F" w:rsidRPr="0090205F">
        <w:rPr>
          <w:sz w:val="28"/>
          <w:szCs w:val="28"/>
        </w:rPr>
        <w:t xml:space="preserve"> “las actividades de exhibición cinematográfica organizadas por </w:t>
      </w:r>
      <w:r w:rsidR="0005577F" w:rsidRPr="0090205F">
        <w:rPr>
          <w:b/>
          <w:sz w:val="28"/>
          <w:szCs w:val="28"/>
        </w:rPr>
        <w:t>festivales y por filmotecas oficialmente reconocidas por alguna Administración pública</w:t>
      </w:r>
      <w:r w:rsidR="0005577F" w:rsidRPr="0090205F">
        <w:rPr>
          <w:sz w:val="28"/>
          <w:szCs w:val="28"/>
        </w:rPr>
        <w:t xml:space="preserve"> se regirán por sus normas específicas que, en cualquier caso, </w:t>
      </w:r>
      <w:r w:rsidR="0005577F" w:rsidRPr="0090205F">
        <w:rPr>
          <w:b/>
          <w:sz w:val="28"/>
          <w:szCs w:val="28"/>
        </w:rPr>
        <w:t>deberán asegurar el acceso y participación de las personas con discapacidad en condiciones de igualdad y no discriminación</w:t>
      </w:r>
      <w:r w:rsidRPr="0090205F">
        <w:rPr>
          <w:b/>
          <w:sz w:val="28"/>
          <w:szCs w:val="28"/>
        </w:rPr>
        <w:t xml:space="preserve"> (…)</w:t>
      </w:r>
      <w:r w:rsidR="0005577F" w:rsidRPr="0090205F">
        <w:rPr>
          <w:b/>
          <w:sz w:val="28"/>
          <w:szCs w:val="28"/>
        </w:rPr>
        <w:t>”</w:t>
      </w:r>
    </w:p>
    <w:p w:rsidR="00817D6C" w:rsidRPr="0090205F" w:rsidRDefault="00817D6C" w:rsidP="00EE277D">
      <w:pPr>
        <w:spacing w:after="0"/>
        <w:jc w:val="right"/>
        <w:rPr>
          <w:rFonts w:ascii="Arial" w:hAnsi="Arial" w:cs="Arial"/>
          <w:sz w:val="28"/>
          <w:szCs w:val="28"/>
        </w:rPr>
      </w:pPr>
    </w:p>
    <w:p w:rsidR="00817D6C" w:rsidRPr="0090205F" w:rsidRDefault="008B79A6" w:rsidP="00817D6C">
      <w:pPr>
        <w:jc w:val="both"/>
        <w:rPr>
          <w:rFonts w:ascii="Arial" w:hAnsi="Arial" w:cs="Arial"/>
          <w:sz w:val="28"/>
          <w:szCs w:val="28"/>
        </w:rPr>
      </w:pPr>
      <w:r w:rsidRPr="0090205F">
        <w:rPr>
          <w:rFonts w:ascii="Arial" w:hAnsi="Arial" w:cs="Arial"/>
          <w:sz w:val="28"/>
          <w:szCs w:val="28"/>
        </w:rPr>
        <w:t>Además,</w:t>
      </w:r>
      <w:r w:rsidR="00817D6C" w:rsidRPr="0090205F">
        <w:rPr>
          <w:rFonts w:ascii="Arial" w:hAnsi="Arial" w:cs="Arial"/>
          <w:sz w:val="28"/>
          <w:szCs w:val="28"/>
        </w:rPr>
        <w:t xml:space="preserve"> se quiere dar respuesta al mayor apoyo que precisan los proyectos dirigidos por cineastas con discapacidad, de manera que, según se establece en la Convención sobre los derechos de las personas con discapacidad, puedan desarrollar y utilizar su potencial creativo, artístico e intelectual, no solo en su propio beneficio sino también para el enriquecimiento de la sociedad.</w:t>
      </w:r>
    </w:p>
    <w:p w:rsidR="00817D6C" w:rsidRPr="0090205F" w:rsidRDefault="00817D6C" w:rsidP="00817D6C">
      <w:pPr>
        <w:jc w:val="both"/>
        <w:rPr>
          <w:rFonts w:ascii="Arial" w:hAnsi="Arial" w:cs="Arial"/>
          <w:color w:val="000000"/>
          <w:sz w:val="28"/>
          <w:szCs w:val="28"/>
        </w:rPr>
      </w:pPr>
      <w:r w:rsidRPr="0090205F">
        <w:rPr>
          <w:rFonts w:ascii="Arial" w:hAnsi="Arial" w:cs="Arial"/>
          <w:sz w:val="28"/>
          <w:szCs w:val="28"/>
        </w:rPr>
        <w:t>En este sentido,</w:t>
      </w:r>
      <w:r w:rsidR="008B79A6" w:rsidRPr="0090205F">
        <w:rPr>
          <w:rFonts w:ascii="Arial" w:hAnsi="Arial" w:cs="Arial"/>
          <w:sz w:val="28"/>
          <w:szCs w:val="28"/>
        </w:rPr>
        <w:t xml:space="preserve"> se establecen nuevos criterios para la identificación de determinadas obras como «obras audiovisuales difíciles», de acuerdo con la normativa europea aplicable, y se amplía la intensidad de ayudas públicas que pueden llegar a recibir estas obras. </w:t>
      </w:r>
      <w:r w:rsidR="000522CE" w:rsidRPr="0090205F">
        <w:rPr>
          <w:rFonts w:ascii="Arial" w:hAnsi="Arial" w:cs="Arial"/>
          <w:sz w:val="28"/>
          <w:szCs w:val="28"/>
        </w:rPr>
        <w:t>Así, s</w:t>
      </w:r>
      <w:r w:rsidR="008B79A6" w:rsidRPr="0090205F">
        <w:rPr>
          <w:rFonts w:ascii="Arial" w:hAnsi="Arial" w:cs="Arial"/>
          <w:sz w:val="28"/>
          <w:szCs w:val="28"/>
        </w:rPr>
        <w:t>e incluyen dentro de esta categoría “</w:t>
      </w:r>
      <w:r w:rsidR="008B79A6" w:rsidRPr="0090205F">
        <w:rPr>
          <w:rFonts w:ascii="Arial" w:hAnsi="Arial" w:cs="Arial"/>
          <w:b/>
          <w:sz w:val="28"/>
          <w:szCs w:val="28"/>
        </w:rPr>
        <w:t>las obras audiovisuales realizadas exclusivamente por directores o directoras con un grado de discapacidad igual o superior al 33 % reconocido por el órgano competente, que podrán recibir ayudas públicas hasta el 80 % del coste reconocido</w:t>
      </w:r>
      <w:r w:rsidR="008B79A6" w:rsidRPr="0090205F">
        <w:rPr>
          <w:rFonts w:ascii="Arial" w:hAnsi="Arial" w:cs="Arial"/>
          <w:sz w:val="28"/>
          <w:szCs w:val="28"/>
        </w:rPr>
        <w:t>”</w:t>
      </w:r>
      <w:r w:rsidR="000522CE" w:rsidRPr="0090205F">
        <w:rPr>
          <w:rFonts w:ascii="Arial" w:hAnsi="Arial" w:cs="Arial"/>
          <w:sz w:val="28"/>
          <w:szCs w:val="28"/>
        </w:rPr>
        <w:t>, según la nueva redacción del artículo 21.2 del citado</w:t>
      </w:r>
      <w:r w:rsidR="008B79A6" w:rsidRPr="0090205F">
        <w:rPr>
          <w:rFonts w:ascii="Arial" w:hAnsi="Arial" w:cs="Arial"/>
          <w:color w:val="000000"/>
          <w:sz w:val="28"/>
          <w:szCs w:val="28"/>
        </w:rPr>
        <w:t xml:space="preserve"> </w:t>
      </w:r>
      <w:r w:rsidR="000522CE" w:rsidRPr="0090205F">
        <w:rPr>
          <w:rFonts w:ascii="Arial" w:hAnsi="Arial" w:cs="Arial"/>
          <w:sz w:val="28"/>
          <w:szCs w:val="28"/>
        </w:rPr>
        <w:t>reglamento que desarrolla la Ley del Cine.</w:t>
      </w:r>
    </w:p>
    <w:p w:rsidR="00EE277D" w:rsidRPr="0090205F" w:rsidRDefault="0090205F" w:rsidP="00EE277D">
      <w:pPr>
        <w:spacing w:after="0"/>
        <w:jc w:val="right"/>
        <w:rPr>
          <w:rFonts w:ascii="Arial" w:hAnsi="Arial" w:cs="Arial"/>
          <w:sz w:val="28"/>
          <w:szCs w:val="28"/>
        </w:rPr>
      </w:pPr>
      <w:r w:rsidRPr="0090205F">
        <w:rPr>
          <w:rFonts w:ascii="Arial" w:hAnsi="Arial" w:cs="Arial"/>
          <w:sz w:val="28"/>
          <w:szCs w:val="28"/>
        </w:rPr>
        <w:t>Diciembre, 2020.</w:t>
      </w:r>
    </w:p>
    <w:p w:rsidR="0090205F" w:rsidRPr="0090205F" w:rsidRDefault="0090205F" w:rsidP="00EE277D">
      <w:pPr>
        <w:spacing w:after="0"/>
        <w:jc w:val="right"/>
        <w:rPr>
          <w:rFonts w:ascii="Arial" w:hAnsi="Arial" w:cs="Arial"/>
          <w:sz w:val="28"/>
          <w:szCs w:val="28"/>
        </w:rPr>
      </w:pPr>
    </w:p>
    <w:p w:rsidR="0090205F" w:rsidRPr="0090205F" w:rsidRDefault="0090205F" w:rsidP="0090205F">
      <w:pPr>
        <w:spacing w:after="0"/>
        <w:jc w:val="center"/>
        <w:rPr>
          <w:rFonts w:ascii="Arial" w:hAnsi="Arial" w:cs="Arial"/>
          <w:b/>
          <w:sz w:val="28"/>
          <w:szCs w:val="28"/>
        </w:rPr>
      </w:pPr>
      <w:r w:rsidRPr="0090205F">
        <w:rPr>
          <w:rFonts w:ascii="Arial" w:hAnsi="Arial" w:cs="Arial"/>
          <w:b/>
          <w:sz w:val="28"/>
          <w:szCs w:val="28"/>
        </w:rPr>
        <w:t>CERMI</w:t>
      </w:r>
    </w:p>
    <w:p w:rsidR="0090205F" w:rsidRPr="0090205F" w:rsidRDefault="0090205F" w:rsidP="0090205F">
      <w:pPr>
        <w:spacing w:after="0"/>
        <w:jc w:val="center"/>
        <w:rPr>
          <w:rFonts w:ascii="Arial" w:hAnsi="Arial" w:cs="Arial"/>
          <w:b/>
          <w:sz w:val="28"/>
          <w:szCs w:val="28"/>
        </w:rPr>
      </w:pPr>
      <w:hyperlink r:id="rId8" w:history="1">
        <w:r w:rsidRPr="0090205F">
          <w:rPr>
            <w:rStyle w:val="Hipervnculo"/>
            <w:rFonts w:ascii="Arial" w:hAnsi="Arial" w:cs="Arial"/>
            <w:b/>
            <w:sz w:val="28"/>
            <w:szCs w:val="28"/>
          </w:rPr>
          <w:t>www.cermi.es</w:t>
        </w:r>
      </w:hyperlink>
    </w:p>
    <w:p w:rsidR="0090205F" w:rsidRPr="0090205F" w:rsidRDefault="0090205F" w:rsidP="0090205F">
      <w:pPr>
        <w:spacing w:after="0"/>
        <w:jc w:val="center"/>
        <w:rPr>
          <w:rFonts w:ascii="Arial" w:hAnsi="Arial" w:cs="Arial"/>
          <w:b/>
          <w:sz w:val="28"/>
          <w:szCs w:val="28"/>
        </w:rPr>
      </w:pPr>
    </w:p>
    <w:sectPr w:rsidR="0090205F" w:rsidRPr="0090205F">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7E7" w:rsidRDefault="000E27E7" w:rsidP="0090205F">
      <w:pPr>
        <w:spacing w:after="0" w:line="240" w:lineRule="auto"/>
      </w:pPr>
      <w:r>
        <w:separator/>
      </w:r>
    </w:p>
  </w:endnote>
  <w:endnote w:type="continuationSeparator" w:id="0">
    <w:p w:rsidR="000E27E7" w:rsidRDefault="000E27E7" w:rsidP="0090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592563"/>
      <w:docPartObj>
        <w:docPartGallery w:val="Page Numbers (Bottom of Page)"/>
        <w:docPartUnique/>
      </w:docPartObj>
    </w:sdtPr>
    <w:sdtContent>
      <w:p w:rsidR="0090205F" w:rsidRDefault="0090205F">
        <w:pPr>
          <w:pStyle w:val="Piedepgina"/>
          <w:jc w:val="center"/>
        </w:pPr>
        <w:r>
          <w:fldChar w:fldCharType="begin"/>
        </w:r>
        <w:r>
          <w:instrText>PAGE   \* MERGEFORMAT</w:instrText>
        </w:r>
        <w:r>
          <w:fldChar w:fldCharType="separate"/>
        </w:r>
        <w:r w:rsidR="00DA5571">
          <w:rPr>
            <w:noProof/>
          </w:rPr>
          <w:t>2</w:t>
        </w:r>
        <w:r>
          <w:fldChar w:fldCharType="end"/>
        </w:r>
      </w:p>
    </w:sdtContent>
  </w:sdt>
  <w:p w:rsidR="0090205F" w:rsidRDefault="0090205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7E7" w:rsidRDefault="000E27E7" w:rsidP="0090205F">
      <w:pPr>
        <w:spacing w:after="0" w:line="240" w:lineRule="auto"/>
      </w:pPr>
      <w:r>
        <w:separator/>
      </w:r>
    </w:p>
  </w:footnote>
  <w:footnote w:type="continuationSeparator" w:id="0">
    <w:p w:rsidR="000E27E7" w:rsidRDefault="000E27E7" w:rsidP="00902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46C7A"/>
    <w:multiLevelType w:val="hybridMultilevel"/>
    <w:tmpl w:val="2796F716"/>
    <w:lvl w:ilvl="0" w:tplc="8328398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8AD4433"/>
    <w:multiLevelType w:val="hybridMultilevel"/>
    <w:tmpl w:val="EA684EA0"/>
    <w:lvl w:ilvl="0" w:tplc="0C0A0017">
      <w:start w:val="1"/>
      <w:numFmt w:val="lowerLetter"/>
      <w:lvlText w:val="%1)"/>
      <w:lvlJc w:val="left"/>
      <w:pPr>
        <w:ind w:left="1620" w:hanging="360"/>
      </w:pPr>
    </w:lvl>
    <w:lvl w:ilvl="1" w:tplc="0C0A0019" w:tentative="1">
      <w:start w:val="1"/>
      <w:numFmt w:val="lowerLetter"/>
      <w:lvlText w:val="%2."/>
      <w:lvlJc w:val="left"/>
      <w:pPr>
        <w:ind w:left="2340" w:hanging="360"/>
      </w:pPr>
    </w:lvl>
    <w:lvl w:ilvl="2" w:tplc="0C0A001B" w:tentative="1">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89"/>
    <w:rsid w:val="000522CE"/>
    <w:rsid w:val="0005577F"/>
    <w:rsid w:val="00093E89"/>
    <w:rsid w:val="000E27E7"/>
    <w:rsid w:val="002910FF"/>
    <w:rsid w:val="005E7703"/>
    <w:rsid w:val="00817D6C"/>
    <w:rsid w:val="00847FCD"/>
    <w:rsid w:val="008B79A6"/>
    <w:rsid w:val="0090205F"/>
    <w:rsid w:val="00AD3363"/>
    <w:rsid w:val="00B330D9"/>
    <w:rsid w:val="00DA5571"/>
    <w:rsid w:val="00EE27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E87C"/>
  <w15:chartTrackingRefBased/>
  <w15:docId w15:val="{11D2B798-A584-4F15-B0A1-BC6B0538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30D9"/>
    <w:pPr>
      <w:ind w:left="720"/>
      <w:contextualSpacing/>
    </w:pPr>
  </w:style>
  <w:style w:type="paragraph" w:customStyle="1" w:styleId="Default">
    <w:name w:val="Default"/>
    <w:rsid w:val="00EE277D"/>
    <w:pPr>
      <w:autoSpaceDE w:val="0"/>
      <w:autoSpaceDN w:val="0"/>
      <w:adjustRightInd w:val="0"/>
      <w:spacing w:after="0" w:line="240" w:lineRule="auto"/>
    </w:pPr>
    <w:rPr>
      <w:rFonts w:ascii="Arial" w:hAnsi="Arial" w:cs="Arial"/>
      <w:color w:val="000000"/>
      <w:sz w:val="24"/>
      <w:szCs w:val="24"/>
    </w:rPr>
  </w:style>
  <w:style w:type="paragraph" w:customStyle="1" w:styleId="Pa13">
    <w:name w:val="Pa13"/>
    <w:basedOn w:val="Default"/>
    <w:next w:val="Default"/>
    <w:uiPriority w:val="99"/>
    <w:rsid w:val="00EE277D"/>
    <w:pPr>
      <w:spacing w:line="201" w:lineRule="atLeast"/>
    </w:pPr>
    <w:rPr>
      <w:color w:val="auto"/>
    </w:rPr>
  </w:style>
  <w:style w:type="paragraph" w:customStyle="1" w:styleId="Pa12">
    <w:name w:val="Pa12"/>
    <w:basedOn w:val="Default"/>
    <w:next w:val="Default"/>
    <w:uiPriority w:val="99"/>
    <w:rsid w:val="00EE277D"/>
    <w:pPr>
      <w:spacing w:line="201" w:lineRule="atLeast"/>
    </w:pPr>
    <w:rPr>
      <w:color w:val="auto"/>
    </w:rPr>
  </w:style>
  <w:style w:type="paragraph" w:customStyle="1" w:styleId="Pa11">
    <w:name w:val="Pa11"/>
    <w:basedOn w:val="Default"/>
    <w:next w:val="Default"/>
    <w:uiPriority w:val="99"/>
    <w:rsid w:val="0005577F"/>
    <w:pPr>
      <w:spacing w:line="201" w:lineRule="atLeast"/>
    </w:pPr>
    <w:rPr>
      <w:color w:val="auto"/>
    </w:rPr>
  </w:style>
  <w:style w:type="character" w:styleId="Hipervnculo">
    <w:name w:val="Hyperlink"/>
    <w:basedOn w:val="Fuentedeprrafopredeter"/>
    <w:uiPriority w:val="99"/>
    <w:unhideWhenUsed/>
    <w:rsid w:val="0090205F"/>
    <w:rPr>
      <w:color w:val="0563C1" w:themeColor="hyperlink"/>
      <w:u w:val="single"/>
    </w:rPr>
  </w:style>
  <w:style w:type="paragraph" w:styleId="Encabezado">
    <w:name w:val="header"/>
    <w:basedOn w:val="Normal"/>
    <w:link w:val="EncabezadoCar"/>
    <w:uiPriority w:val="99"/>
    <w:unhideWhenUsed/>
    <w:rsid w:val="009020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205F"/>
  </w:style>
  <w:style w:type="paragraph" w:styleId="Piedepgina">
    <w:name w:val="footer"/>
    <w:basedOn w:val="Normal"/>
    <w:link w:val="PiedepginaCar"/>
    <w:uiPriority w:val="99"/>
    <w:unhideWhenUsed/>
    <w:rsid w:val="009020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2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mi.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3137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Dpto RSI</dc:creator>
  <cp:keywords/>
  <dc:description/>
  <cp:lastModifiedBy>Pcermi</cp:lastModifiedBy>
  <cp:revision>4</cp:revision>
  <dcterms:created xsi:type="dcterms:W3CDTF">2020-12-16T17:59:00Z</dcterms:created>
  <dcterms:modified xsi:type="dcterms:W3CDTF">2020-12-16T18:00:00Z</dcterms:modified>
</cp:coreProperties>
</file>