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87F4" w14:textId="77777777" w:rsidR="00657143" w:rsidRDefault="00657143" w:rsidP="00546C44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A5431D" w14:textId="77777777" w:rsidR="00657143" w:rsidRDefault="00657143" w:rsidP="00546C44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9D126F" w14:textId="77777777" w:rsidR="00657143" w:rsidRDefault="00657143" w:rsidP="00546C44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59B42C" w14:textId="77777777" w:rsidR="00657143" w:rsidRDefault="00657143" w:rsidP="00657143">
      <w:pPr>
        <w:pStyle w:val="Textoindependiente"/>
        <w:tabs>
          <w:tab w:val="lef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E61D933" w14:textId="77777777" w:rsidR="00657143" w:rsidRPr="00E65A59" w:rsidRDefault="00657143" w:rsidP="00657143">
      <w:pPr>
        <w:pStyle w:val="Textoindependiente"/>
        <w:tabs>
          <w:tab w:val="left" w:pos="4740"/>
        </w:tabs>
        <w:spacing w:line="276" w:lineRule="auto"/>
        <w:jc w:val="center"/>
        <w:rPr>
          <w:rFonts w:ascii="Times New Roman" w:eastAsia="Arial MT" w:hAnsi="Arial MT" w:cs="Arial MT"/>
          <w:sz w:val="20"/>
        </w:rPr>
      </w:pPr>
      <w:r w:rsidRPr="00E65A59">
        <w:rPr>
          <w:rFonts w:ascii="Arial MT" w:eastAsia="Arial MT" w:hAnsi="Arial MT" w:cs="Arial MT"/>
          <w:noProof/>
          <w:lang w:eastAsia="es-ES"/>
        </w:rPr>
        <w:drawing>
          <wp:inline distT="0" distB="0" distL="0" distR="0" wp14:anchorId="21CFD5F8" wp14:editId="3D50568C">
            <wp:extent cx="2343150" cy="1883876"/>
            <wp:effectExtent l="0" t="0" r="0" b="254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01" cy="18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2B81" w14:textId="77777777" w:rsidR="00657143" w:rsidRPr="00E65A59" w:rsidRDefault="00657143" w:rsidP="00657143">
      <w:pPr>
        <w:widowControl w:val="0"/>
        <w:tabs>
          <w:tab w:val="left" w:pos="9072"/>
        </w:tabs>
        <w:autoSpaceDE w:val="0"/>
        <w:autoSpaceDN w:val="0"/>
        <w:spacing w:after="0" w:line="276" w:lineRule="auto"/>
        <w:rPr>
          <w:rFonts w:ascii="Times New Roman" w:eastAsia="Arial MT" w:hAnsi="Arial MT" w:cs="Arial MT"/>
          <w:sz w:val="20"/>
        </w:rPr>
      </w:pPr>
    </w:p>
    <w:p w14:paraId="654FD39F" w14:textId="77777777" w:rsidR="00657143" w:rsidRPr="00E65A59" w:rsidRDefault="00657143" w:rsidP="00657143">
      <w:pPr>
        <w:widowControl w:val="0"/>
        <w:tabs>
          <w:tab w:val="left" w:pos="9072"/>
        </w:tabs>
        <w:autoSpaceDE w:val="0"/>
        <w:autoSpaceDN w:val="0"/>
        <w:spacing w:after="0" w:line="276" w:lineRule="auto"/>
        <w:rPr>
          <w:rFonts w:ascii="Times New Roman" w:eastAsia="Arial MT" w:hAnsi="Arial MT" w:cs="Arial MT"/>
          <w:sz w:val="20"/>
        </w:rPr>
      </w:pPr>
      <w:bookmarkStart w:id="0" w:name="_GoBack"/>
      <w:bookmarkEnd w:id="0"/>
    </w:p>
    <w:p w14:paraId="18286C81" w14:textId="77777777" w:rsidR="00657143" w:rsidRDefault="00657143" w:rsidP="00657143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427659D9" w14:textId="6A59F567" w:rsidR="00657143" w:rsidRDefault="00657143" w:rsidP="00657143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  <w:r w:rsidRPr="00657143">
        <w:rPr>
          <w:rFonts w:ascii="Arial" w:eastAsia="Arial MT" w:hAnsi="Arial" w:cs="Arial"/>
          <w:b/>
          <w:bCs/>
          <w:sz w:val="32"/>
          <w:szCs w:val="32"/>
        </w:rPr>
        <w:t>Consideraciones de CERMI a la consulta pública previa sobre el Anteproyecto de Ley por la que se regulan los incentivos a la contratación laboral y otras medidas de impulso y mantenimiento del empleo estable financiadas con bonificaciones en las cuotas de la seguridad social</w:t>
      </w:r>
    </w:p>
    <w:p w14:paraId="5161A090" w14:textId="77777777" w:rsidR="00657143" w:rsidRDefault="00657143" w:rsidP="00657143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2959A023" w14:textId="77777777" w:rsidR="00657143" w:rsidRDefault="00657143" w:rsidP="00657143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1F343A42" w14:textId="77777777" w:rsidR="00657143" w:rsidRDefault="00657143" w:rsidP="00657143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31ABAB1A" w14:textId="77777777" w:rsidR="00657143" w:rsidRDefault="00657143" w:rsidP="00657143">
      <w:pPr>
        <w:jc w:val="center"/>
        <w:rPr>
          <w:rFonts w:ascii="Arial" w:eastAsia="Arial MT" w:hAnsi="Arial" w:cs="Arial"/>
          <w:b/>
          <w:bCs/>
          <w:sz w:val="24"/>
          <w:szCs w:val="28"/>
        </w:rPr>
      </w:pPr>
      <w:r>
        <w:rPr>
          <w:rFonts w:ascii="Arial" w:eastAsia="Arial MT" w:hAnsi="Arial" w:cs="Arial"/>
          <w:b/>
          <w:bCs/>
          <w:sz w:val="24"/>
          <w:szCs w:val="28"/>
        </w:rPr>
        <w:t xml:space="preserve">Octubre </w:t>
      </w:r>
      <w:r w:rsidRPr="00E65A59">
        <w:rPr>
          <w:rFonts w:ascii="Arial" w:eastAsia="Arial MT" w:hAnsi="Arial" w:cs="Arial"/>
          <w:b/>
          <w:bCs/>
          <w:sz w:val="24"/>
          <w:szCs w:val="28"/>
        </w:rPr>
        <w:t>de 2021</w:t>
      </w:r>
    </w:p>
    <w:p w14:paraId="3E4425A1" w14:textId="77777777" w:rsidR="00657143" w:rsidRDefault="00657143" w:rsidP="00657143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1202BC" w14:textId="77777777" w:rsidR="00657143" w:rsidRDefault="00657143" w:rsidP="00657143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BA390E" w14:textId="77777777" w:rsidR="00657143" w:rsidRDefault="00657143" w:rsidP="00657143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2756B4" w14:textId="77777777" w:rsidR="00657143" w:rsidRDefault="00657143" w:rsidP="00657143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4106AD" w14:textId="77777777" w:rsidR="00657143" w:rsidRDefault="00657143" w:rsidP="00657143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8689FC" w14:textId="20F3B485" w:rsidR="00963706" w:rsidRPr="00657143" w:rsidRDefault="00657143" w:rsidP="00CD7872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143">
        <w:rPr>
          <w:rFonts w:ascii="Arial" w:hAnsi="Arial" w:cs="Arial"/>
          <w:b/>
          <w:bCs/>
          <w:sz w:val="24"/>
          <w:szCs w:val="24"/>
        </w:rPr>
        <w:lastRenderedPageBreak/>
        <w:t>CONSIDERACIONES GENERALES</w:t>
      </w:r>
    </w:p>
    <w:p w14:paraId="30269BB8" w14:textId="00022CA9" w:rsidR="00266BE6" w:rsidRDefault="0041170E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1.- </w:t>
      </w:r>
      <w:r w:rsidR="00266BE6">
        <w:rPr>
          <w:rFonts w:ascii="Arial" w:eastAsia="Times New Roman" w:hAnsi="Arial" w:cs="Arial"/>
          <w:sz w:val="24"/>
          <w:szCs w:val="24"/>
        </w:rPr>
        <w:t>En los últimos años han proliferado los instrumentos jurídicos y las directrices políticas, internacionales y nacionales, para proteger y promover los derechos de las personas con discapacidad e intentar remediar una situación histórica de inequidad, especialmente, respecto a la participación de las personas con discapacidad en el mercado de trabajo. Pero a pesar de los esfuerzos realizados desde todos los ámbitos, l</w:t>
      </w:r>
      <w:r w:rsidR="00266BE6">
        <w:rPr>
          <w:rFonts w:ascii="Arial" w:hAnsi="Arial" w:cs="Arial"/>
          <w:sz w:val="24"/>
          <w:szCs w:val="24"/>
        </w:rPr>
        <w:t>a inclusión laboral de las personas con discapacidad continúa siendo en España una meta por alcanzar</w:t>
      </w:r>
      <w:r w:rsidR="00A1079B">
        <w:rPr>
          <w:rFonts w:ascii="Arial" w:hAnsi="Arial" w:cs="Arial"/>
          <w:sz w:val="24"/>
          <w:szCs w:val="24"/>
        </w:rPr>
        <w:t>, demasiado lejana aún</w:t>
      </w:r>
      <w:r w:rsidR="00266BE6">
        <w:rPr>
          <w:rFonts w:ascii="Arial" w:hAnsi="Arial" w:cs="Arial"/>
          <w:sz w:val="24"/>
          <w:szCs w:val="24"/>
        </w:rPr>
        <w:t xml:space="preserve">. </w:t>
      </w:r>
    </w:p>
    <w:p w14:paraId="5AC2E742" w14:textId="5CE9E691" w:rsidR="00266BE6" w:rsidRDefault="00266BE6" w:rsidP="00CD7872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 característica más destacable del</w:t>
      </w:r>
      <w:r w:rsidR="00A1079B">
        <w:rPr>
          <w:rFonts w:ascii="Arial" w:eastAsia="Times New Roman" w:hAnsi="Arial" w:cs="Arial"/>
          <w:color w:val="000000"/>
          <w:sz w:val="24"/>
          <w:szCs w:val="24"/>
        </w:rPr>
        <w:t xml:space="preserve"> grupo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r w:rsidR="00A1079B">
        <w:rPr>
          <w:rFonts w:ascii="Arial" w:eastAsia="Times New Roman" w:hAnsi="Arial" w:cs="Arial"/>
          <w:color w:val="000000"/>
          <w:sz w:val="24"/>
          <w:szCs w:val="24"/>
        </w:rPr>
        <w:t xml:space="preserve">las </w:t>
      </w:r>
      <w:r>
        <w:rPr>
          <w:rFonts w:ascii="Arial" w:eastAsia="Times New Roman" w:hAnsi="Arial" w:cs="Arial"/>
          <w:color w:val="000000"/>
          <w:sz w:val="24"/>
          <w:szCs w:val="24"/>
        </w:rPr>
        <w:t>personas con discapacidad en edad laboral es su baja participación en el mercado laboral.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 2019 la tasa de actividad de las personas con discapacidad era 43,1 puntos inferior a la de la población sin discapacidad. La tasa de empleo era de 41,1 puntos inferior a la de las personas sin discapacidad. Y la tasa de paro superó en 10 puntos a la de la población sin discapacidad. </w:t>
      </w:r>
    </w:p>
    <w:p w14:paraId="4BD8F81F" w14:textId="0B4222CC" w:rsidR="00266BE6" w:rsidRDefault="00266BE6" w:rsidP="00CD7872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Las políticas activas de empleo son uno de los instrumentos más eficaces</w:t>
      </w:r>
      <w:r w:rsidR="00D303C6">
        <w:rPr>
          <w:rFonts w:ascii="Arial" w:eastAsiaTheme="minorEastAsia" w:hAnsi="Arial" w:cs="Arial"/>
          <w:sz w:val="24"/>
          <w:szCs w:val="24"/>
        </w:rPr>
        <w:t xml:space="preserve"> que existen para reducir las desigualdades sociales y, en concreto, la situación de falta de participación social y en el empleo de las personas con discapacidad: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D303C6">
        <w:rPr>
          <w:rFonts w:ascii="Arial" w:eastAsiaTheme="minorEastAsia" w:hAnsi="Arial" w:cs="Arial"/>
          <w:sz w:val="24"/>
          <w:szCs w:val="24"/>
        </w:rPr>
        <w:t xml:space="preserve"> fomentan su contratación, ayudan a reducir el riesgo de pobreza y generan importantes retornos económicos. Por ello, deben ser consideradas como una inversión de Estado y no como un gasto; las políticas activas dirigidas directamente a la contratación de las personas con discapacidad, al provocar un impacto social directo y medible</w:t>
      </w:r>
      <w:r w:rsidR="00330BB2">
        <w:rPr>
          <w:rFonts w:ascii="Arial" w:eastAsiaTheme="minorEastAsia" w:hAnsi="Arial" w:cs="Arial"/>
          <w:sz w:val="24"/>
          <w:szCs w:val="24"/>
        </w:rPr>
        <w:t>- la consecución de un empleo-</w:t>
      </w:r>
      <w:r w:rsidR="00D303C6">
        <w:rPr>
          <w:rFonts w:ascii="Arial" w:eastAsiaTheme="minorEastAsia" w:hAnsi="Arial" w:cs="Arial"/>
          <w:sz w:val="24"/>
          <w:szCs w:val="24"/>
        </w:rPr>
        <w:t xml:space="preserve">, aseguran una óptima rentabilidad de esta inversión pública. </w:t>
      </w:r>
      <w:r w:rsidR="0041170E">
        <w:rPr>
          <w:rFonts w:ascii="Arial" w:eastAsiaTheme="minorEastAsia" w:hAnsi="Arial" w:cs="Arial"/>
          <w:sz w:val="24"/>
          <w:szCs w:val="24"/>
        </w:rPr>
        <w:t>Proporcionan, además, una tasa de retorno económico positiva como demuestran y evidencian numerosos estudios e informes que se han realizado al efecto.</w:t>
      </w:r>
    </w:p>
    <w:p w14:paraId="4FD713BA" w14:textId="1CEB95A3" w:rsidR="00C7206C" w:rsidRDefault="00C7206C" w:rsidP="00CD7872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7206C">
        <w:rPr>
          <w:rFonts w:ascii="Arial" w:eastAsiaTheme="minorEastAsia" w:hAnsi="Arial" w:cs="Arial"/>
          <w:sz w:val="24"/>
          <w:szCs w:val="24"/>
        </w:rPr>
        <w:t xml:space="preserve">El “coste” de la no inclusión de las personas con discapacidad en el mercado laboral provoca una serie de </w:t>
      </w:r>
      <w:r>
        <w:rPr>
          <w:rFonts w:ascii="Arial" w:eastAsiaTheme="minorEastAsia" w:hAnsi="Arial" w:cs="Arial"/>
          <w:sz w:val="24"/>
          <w:szCs w:val="24"/>
        </w:rPr>
        <w:t>gasto</w:t>
      </w:r>
      <w:r w:rsidR="00330BB2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C7206C">
        <w:rPr>
          <w:rFonts w:ascii="Arial" w:eastAsiaTheme="minorEastAsia" w:hAnsi="Arial" w:cs="Arial"/>
          <w:sz w:val="24"/>
          <w:szCs w:val="24"/>
        </w:rPr>
        <w:t>para el Estado, para</w:t>
      </w:r>
      <w:r>
        <w:rPr>
          <w:rFonts w:ascii="Arial" w:eastAsiaTheme="minorEastAsia" w:hAnsi="Arial" w:cs="Arial"/>
          <w:sz w:val="24"/>
          <w:szCs w:val="24"/>
        </w:rPr>
        <w:t xml:space="preserve"> la persona con discapacidad</w:t>
      </w:r>
      <w:r w:rsidRPr="00C7206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 xml:space="preserve">para </w:t>
      </w:r>
      <w:r w:rsidRPr="00C7206C">
        <w:rPr>
          <w:rFonts w:ascii="Arial" w:eastAsiaTheme="minorEastAsia" w:hAnsi="Arial" w:cs="Arial"/>
          <w:sz w:val="24"/>
          <w:szCs w:val="24"/>
        </w:rPr>
        <w:t xml:space="preserve">su familia y </w:t>
      </w:r>
      <w:r>
        <w:rPr>
          <w:rFonts w:ascii="Arial" w:eastAsiaTheme="minorEastAsia" w:hAnsi="Arial" w:cs="Arial"/>
          <w:sz w:val="24"/>
          <w:szCs w:val="24"/>
        </w:rPr>
        <w:t xml:space="preserve">para la sociedad en general. </w:t>
      </w:r>
    </w:p>
    <w:p w14:paraId="754BE852" w14:textId="56786E1B" w:rsidR="00C7206C" w:rsidRDefault="00C7206C" w:rsidP="00CD7872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tanto, el esfuerzo económico realizado mediante la aplicación de incentivos a la contratación laboral y otras </w:t>
      </w:r>
      <w:r w:rsidR="00330BB2">
        <w:rPr>
          <w:rFonts w:ascii="Arial" w:eastAsiaTheme="minorEastAsia" w:hAnsi="Arial" w:cs="Arial"/>
          <w:sz w:val="24"/>
          <w:szCs w:val="24"/>
        </w:rPr>
        <w:t xml:space="preserve">medidas de impulso y mantenimiento del empleo </w:t>
      </w:r>
      <w:r>
        <w:rPr>
          <w:rFonts w:ascii="Arial" w:eastAsiaTheme="minorEastAsia" w:hAnsi="Arial" w:cs="Arial"/>
          <w:sz w:val="24"/>
          <w:szCs w:val="24"/>
        </w:rPr>
        <w:t xml:space="preserve">se traduce </w:t>
      </w:r>
      <w:r w:rsidR="00330BB2">
        <w:rPr>
          <w:rFonts w:ascii="Arial" w:eastAsiaTheme="minorEastAsia" w:hAnsi="Arial" w:cs="Arial"/>
          <w:sz w:val="24"/>
          <w:szCs w:val="24"/>
        </w:rPr>
        <w:t xml:space="preserve">en una inversión social </w:t>
      </w:r>
      <w:r w:rsidR="0041170E">
        <w:rPr>
          <w:rFonts w:ascii="Arial" w:eastAsiaTheme="minorEastAsia" w:hAnsi="Arial" w:cs="Arial"/>
          <w:sz w:val="24"/>
          <w:szCs w:val="24"/>
        </w:rPr>
        <w:t>que beneficia tanto a las personas con discapacidad</w:t>
      </w:r>
      <w:r w:rsidR="003D74EB">
        <w:rPr>
          <w:rFonts w:ascii="Arial" w:eastAsiaTheme="minorEastAsia" w:hAnsi="Arial" w:cs="Arial"/>
          <w:sz w:val="24"/>
          <w:szCs w:val="24"/>
        </w:rPr>
        <w:t xml:space="preserve">, a la aportación de recursos públicos y </w:t>
      </w:r>
      <w:r w:rsidR="0041170E">
        <w:rPr>
          <w:rFonts w:ascii="Arial" w:eastAsiaTheme="minorEastAsia" w:hAnsi="Arial" w:cs="Arial"/>
          <w:sz w:val="24"/>
          <w:szCs w:val="24"/>
        </w:rPr>
        <w:t xml:space="preserve">al conjunto de la sociedad; por lo que, en cualquier caso, las políticas de incentivos </w:t>
      </w:r>
      <w:r w:rsidR="003D74EB">
        <w:rPr>
          <w:rFonts w:ascii="Arial" w:eastAsiaTheme="minorEastAsia" w:hAnsi="Arial" w:cs="Arial"/>
          <w:sz w:val="24"/>
          <w:szCs w:val="24"/>
        </w:rPr>
        <w:t xml:space="preserve">a la contratación y cualquier  otra medida de impulso y mantenimiento del empleo </w:t>
      </w:r>
      <w:r w:rsidR="0041170E">
        <w:rPr>
          <w:rFonts w:ascii="Arial" w:eastAsiaTheme="minorEastAsia" w:hAnsi="Arial" w:cs="Arial"/>
          <w:sz w:val="24"/>
          <w:szCs w:val="24"/>
        </w:rPr>
        <w:t xml:space="preserve">deberían mantenerse y extender su cobertura aún más dado el impacto social positivo que tienen. </w:t>
      </w:r>
      <w:r w:rsidR="00A1079B">
        <w:rPr>
          <w:rFonts w:ascii="Arial" w:eastAsiaTheme="minorEastAsia" w:hAnsi="Arial" w:cs="Arial"/>
          <w:sz w:val="24"/>
          <w:szCs w:val="24"/>
        </w:rPr>
        <w:t>No sería admisible que se pudiera rebajar en ningún caso el nivel que estos incentivos tienen en este momento; se han de aumentar y ensanchar para las personas con discapacidad, como el grupo social más excluido del bien básico del empleo.</w:t>
      </w:r>
    </w:p>
    <w:p w14:paraId="27420684" w14:textId="5363B377" w:rsidR="002F0957" w:rsidRDefault="002F0957" w:rsidP="00CD7872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Por otro lado, debemos señalar que los incentivos a la contratación y el resto de </w:t>
      </w:r>
      <w:r w:rsidR="00050EA6">
        <w:rPr>
          <w:rFonts w:ascii="Arial" w:eastAsiaTheme="minorEastAsia" w:hAnsi="Arial" w:cs="Arial"/>
          <w:sz w:val="24"/>
          <w:szCs w:val="24"/>
        </w:rPr>
        <w:t>las medidas</w:t>
      </w:r>
      <w:r>
        <w:rPr>
          <w:rFonts w:ascii="Arial" w:eastAsiaTheme="minorEastAsia" w:hAnsi="Arial" w:cs="Arial"/>
          <w:sz w:val="24"/>
          <w:szCs w:val="24"/>
        </w:rPr>
        <w:t xml:space="preserve"> de impulso y mantenimiento del empleo estable financiadas con bonificaciones de cuotas a la </w:t>
      </w:r>
      <w:r w:rsidR="00A1079B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eguridad </w:t>
      </w:r>
      <w:r w:rsidR="00A1079B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ocial dirigidas a las personas con discapacidad están plenamente </w:t>
      </w:r>
      <w:r w:rsidR="008B6206">
        <w:rPr>
          <w:rFonts w:ascii="Arial" w:eastAsiaTheme="minorEastAsia" w:hAnsi="Arial" w:cs="Arial"/>
          <w:sz w:val="24"/>
          <w:szCs w:val="24"/>
        </w:rPr>
        <w:t>alineados</w:t>
      </w:r>
      <w:r>
        <w:rPr>
          <w:rFonts w:ascii="Arial" w:eastAsiaTheme="minorEastAsia" w:hAnsi="Arial" w:cs="Arial"/>
          <w:sz w:val="24"/>
          <w:szCs w:val="24"/>
        </w:rPr>
        <w:t xml:space="preserve"> con los objetivos</w:t>
      </w:r>
      <w:r w:rsidR="00050EA6">
        <w:rPr>
          <w:rFonts w:ascii="Arial" w:eastAsiaTheme="minorEastAsia" w:hAnsi="Arial" w:cs="Arial"/>
          <w:sz w:val="24"/>
          <w:szCs w:val="24"/>
        </w:rPr>
        <w:t>, contribuir al acceso y mantenimiento del empleo,</w:t>
      </w:r>
      <w:r>
        <w:rPr>
          <w:rFonts w:ascii="Arial" w:eastAsiaTheme="minorEastAsia" w:hAnsi="Arial" w:cs="Arial"/>
          <w:sz w:val="24"/>
          <w:szCs w:val="24"/>
        </w:rPr>
        <w:t xml:space="preserve"> que se pretenden alcanzar con </w:t>
      </w:r>
      <w:r w:rsidR="00050EA6">
        <w:rPr>
          <w:rFonts w:ascii="Arial" w:eastAsiaTheme="minorEastAsia" w:hAnsi="Arial" w:cs="Arial"/>
          <w:sz w:val="24"/>
          <w:szCs w:val="24"/>
        </w:rPr>
        <w:t xml:space="preserve">tipología de medidas </w:t>
      </w:r>
      <w:r>
        <w:rPr>
          <w:rFonts w:ascii="Arial" w:eastAsiaTheme="minorEastAsia" w:hAnsi="Arial" w:cs="Arial"/>
          <w:sz w:val="24"/>
          <w:szCs w:val="24"/>
        </w:rPr>
        <w:t>de acción positiva.</w:t>
      </w:r>
    </w:p>
    <w:p w14:paraId="08FD23A9" w14:textId="36DA8AE4" w:rsidR="009F75B1" w:rsidRDefault="009F75B1" w:rsidP="00CD7872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</w:t>
      </w:r>
      <w:r w:rsidRPr="009F75B1">
        <w:rPr>
          <w:rFonts w:ascii="Arial" w:eastAsiaTheme="minorEastAsia" w:hAnsi="Arial" w:cs="Arial"/>
          <w:sz w:val="24"/>
          <w:szCs w:val="24"/>
        </w:rPr>
        <w:t xml:space="preserve">ara conseguir un crecimiento sostenible es necesario reducir la desigualdad y, por lo tanto, es esencial </w:t>
      </w:r>
      <w:r w:rsidR="002F0957">
        <w:rPr>
          <w:rFonts w:ascii="Arial" w:eastAsiaTheme="minorEastAsia" w:hAnsi="Arial" w:cs="Arial"/>
          <w:sz w:val="24"/>
          <w:szCs w:val="24"/>
        </w:rPr>
        <w:t xml:space="preserve">apoyar a </w:t>
      </w:r>
      <w:r w:rsidRPr="009F75B1">
        <w:rPr>
          <w:rFonts w:ascii="Arial" w:eastAsiaTheme="minorEastAsia" w:hAnsi="Arial" w:cs="Arial"/>
          <w:sz w:val="24"/>
          <w:szCs w:val="24"/>
        </w:rPr>
        <w:t>los sectores más</w:t>
      </w:r>
      <w:r>
        <w:rPr>
          <w:rFonts w:ascii="Arial" w:eastAsiaTheme="minorEastAsia" w:hAnsi="Arial" w:cs="Arial"/>
          <w:sz w:val="24"/>
          <w:szCs w:val="24"/>
        </w:rPr>
        <w:t xml:space="preserve"> vulnerables y que encuentran más dificultades de acceso y mantenimiento del empleo</w:t>
      </w:r>
      <w:r w:rsidRPr="009F75B1">
        <w:rPr>
          <w:rFonts w:ascii="Arial" w:eastAsiaTheme="minorEastAsia" w:hAnsi="Arial" w:cs="Arial"/>
          <w:sz w:val="24"/>
          <w:szCs w:val="24"/>
        </w:rPr>
        <w:t>, entre los que se encuentran las personas con discapacidad.</w:t>
      </w:r>
    </w:p>
    <w:p w14:paraId="51C1C888" w14:textId="4C3F3824" w:rsidR="000E5C24" w:rsidRDefault="000E5C24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Resulta necesario revisar el concepto y la relación de</w:t>
      </w:r>
      <w:r w:rsidR="00A1079B">
        <w:rPr>
          <w:rFonts w:ascii="Arial" w:hAnsi="Arial" w:cs="Arial"/>
          <w:sz w:val="24"/>
          <w:szCs w:val="24"/>
        </w:rPr>
        <w:t xml:space="preserve"> segmentos</w:t>
      </w:r>
      <w:r>
        <w:rPr>
          <w:rFonts w:ascii="Arial" w:hAnsi="Arial" w:cs="Arial"/>
          <w:sz w:val="24"/>
          <w:szCs w:val="24"/>
        </w:rPr>
        <w:t xml:space="preserve"> de personas con discapacidad que se consideran “de especiales dificultades”</w:t>
      </w:r>
      <w:r w:rsidR="00A1079B">
        <w:rPr>
          <w:rFonts w:ascii="Arial" w:hAnsi="Arial" w:cs="Arial"/>
          <w:sz w:val="24"/>
          <w:szCs w:val="24"/>
        </w:rPr>
        <w:t xml:space="preserve">, actualizándolos y ampliándolos, pero en el bien entendido de que TODAS las personas con discapacidad son un grupo social estructural y sistemáticamente excluido del empleo y </w:t>
      </w:r>
      <w:r w:rsidR="00B52675">
        <w:rPr>
          <w:rFonts w:ascii="Arial" w:hAnsi="Arial" w:cs="Arial"/>
          <w:sz w:val="24"/>
          <w:szCs w:val="24"/>
        </w:rPr>
        <w:t>que,</w:t>
      </w:r>
      <w:r w:rsidR="00A1079B">
        <w:rPr>
          <w:rFonts w:ascii="Arial" w:hAnsi="Arial" w:cs="Arial"/>
          <w:sz w:val="24"/>
          <w:szCs w:val="24"/>
        </w:rPr>
        <w:t xml:space="preserve"> dentro de este, que ha de contar con una protección global reforzada, se intensifica el apoyo de base para los de especiales dificultades. </w:t>
      </w:r>
    </w:p>
    <w:p w14:paraId="25DD71F4" w14:textId="4E179831" w:rsidR="00FF327C" w:rsidRPr="00FF327C" w:rsidRDefault="000E5C24" w:rsidP="00CD7872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</w:t>
      </w:r>
      <w:r w:rsidR="003D74EB">
        <w:rPr>
          <w:rFonts w:ascii="Arial" w:eastAsiaTheme="minorEastAsia" w:hAnsi="Arial" w:cs="Arial"/>
          <w:sz w:val="24"/>
          <w:szCs w:val="24"/>
        </w:rPr>
        <w:t>.- Oportunidad e idoneidad de esta Ley, valorando la necesidad de que</w:t>
      </w:r>
      <w:r w:rsidR="000315DF">
        <w:rPr>
          <w:rFonts w:ascii="Arial" w:eastAsiaTheme="minorEastAsia" w:hAnsi="Arial" w:cs="Arial"/>
          <w:sz w:val="24"/>
          <w:szCs w:val="24"/>
        </w:rPr>
        <w:t>,</w:t>
      </w:r>
      <w:r w:rsidR="003D74EB">
        <w:rPr>
          <w:rFonts w:ascii="Arial" w:eastAsiaTheme="minorEastAsia" w:hAnsi="Arial" w:cs="Arial"/>
          <w:sz w:val="24"/>
          <w:szCs w:val="24"/>
        </w:rPr>
        <w:t xml:space="preserve"> en términos generales</w:t>
      </w:r>
      <w:r w:rsidR="000315DF">
        <w:rPr>
          <w:rFonts w:ascii="Arial" w:eastAsiaTheme="minorEastAsia" w:hAnsi="Arial" w:cs="Arial"/>
          <w:sz w:val="24"/>
          <w:szCs w:val="24"/>
        </w:rPr>
        <w:t>,</w:t>
      </w:r>
      <w:r w:rsidR="003D74EB">
        <w:rPr>
          <w:rFonts w:ascii="Arial" w:eastAsiaTheme="minorEastAsia" w:hAnsi="Arial" w:cs="Arial"/>
          <w:sz w:val="24"/>
          <w:szCs w:val="24"/>
        </w:rPr>
        <w:t xml:space="preserve"> es preciso articular un marco jurídico único, consideramos que en </w:t>
      </w:r>
      <w:r w:rsidR="00FF327C">
        <w:rPr>
          <w:rFonts w:ascii="Arial" w:eastAsiaTheme="minorEastAsia" w:hAnsi="Arial" w:cs="Arial"/>
          <w:sz w:val="24"/>
          <w:szCs w:val="24"/>
        </w:rPr>
        <w:t xml:space="preserve">lo que pueda afectar a los incentivos y bonificaciones dirigidas a las personas con discapacidad y ante el anuncio de que se está en vías </w:t>
      </w:r>
      <w:r w:rsidR="00FF327C" w:rsidRPr="00FF327C">
        <w:rPr>
          <w:rFonts w:ascii="Arial" w:eastAsiaTheme="minorEastAsia" w:hAnsi="Arial" w:cs="Arial"/>
          <w:sz w:val="24"/>
          <w:szCs w:val="24"/>
        </w:rPr>
        <w:t>de elaborar</w:t>
      </w:r>
      <w:r w:rsidR="00A1079B">
        <w:rPr>
          <w:rFonts w:ascii="Arial" w:eastAsiaTheme="minorEastAsia" w:hAnsi="Arial" w:cs="Arial"/>
          <w:sz w:val="24"/>
          <w:szCs w:val="24"/>
        </w:rPr>
        <w:t>se</w:t>
      </w:r>
      <w:r w:rsidR="00FF327C" w:rsidRPr="00FF327C">
        <w:rPr>
          <w:rFonts w:ascii="Arial" w:eastAsiaTheme="minorEastAsia" w:hAnsi="Arial" w:cs="Arial"/>
          <w:sz w:val="24"/>
          <w:szCs w:val="24"/>
        </w:rPr>
        <w:t xml:space="preserve"> </w:t>
      </w:r>
      <w:r w:rsidR="00A1079B">
        <w:rPr>
          <w:rFonts w:ascii="Arial" w:eastAsiaTheme="minorEastAsia" w:hAnsi="Arial" w:cs="Arial"/>
          <w:sz w:val="24"/>
          <w:szCs w:val="24"/>
        </w:rPr>
        <w:t xml:space="preserve">por parte del SEPE </w:t>
      </w:r>
      <w:r w:rsidR="00FF327C" w:rsidRPr="00FF327C">
        <w:rPr>
          <w:rFonts w:ascii="Arial" w:eastAsiaTheme="minorEastAsia" w:hAnsi="Arial" w:cs="Arial"/>
          <w:sz w:val="24"/>
          <w:szCs w:val="24"/>
        </w:rPr>
        <w:t xml:space="preserve">el Libro Blanco del Empleo de las Personas con Discapacidad, y aun siendo mejorable el sistema de bonificaciones, sería </w:t>
      </w:r>
      <w:r w:rsidR="00FF327C">
        <w:rPr>
          <w:rFonts w:ascii="Arial" w:eastAsiaTheme="minorEastAsia" w:hAnsi="Arial" w:cs="Arial"/>
          <w:sz w:val="24"/>
          <w:szCs w:val="24"/>
        </w:rPr>
        <w:t xml:space="preserve">inadecuado abordar en este momento </w:t>
      </w:r>
      <w:r w:rsidR="00FF327C" w:rsidRPr="00FF327C">
        <w:rPr>
          <w:rFonts w:ascii="Arial" w:eastAsiaTheme="minorEastAsia" w:hAnsi="Arial" w:cs="Arial"/>
          <w:sz w:val="24"/>
          <w:szCs w:val="24"/>
        </w:rPr>
        <w:t xml:space="preserve">modificaciones legislativas </w:t>
      </w:r>
      <w:r w:rsidR="00FF327C">
        <w:rPr>
          <w:rFonts w:ascii="Arial" w:eastAsiaTheme="minorEastAsia" w:hAnsi="Arial" w:cs="Arial"/>
          <w:sz w:val="24"/>
          <w:szCs w:val="24"/>
        </w:rPr>
        <w:t>antes de estar concluidos los trabajos del Libro Blanco, que necesariamente habrá de contener un análisis riguroso y exhaustivo de la realidad del empleo de las personas con discapacidad.</w:t>
      </w:r>
    </w:p>
    <w:p w14:paraId="4A4CB39B" w14:textId="3B3F8AD8" w:rsidR="00410EF8" w:rsidRPr="00657143" w:rsidRDefault="00657143" w:rsidP="00CD7872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143">
        <w:rPr>
          <w:rFonts w:ascii="Arial" w:hAnsi="Arial" w:cs="Arial"/>
          <w:b/>
          <w:bCs/>
          <w:sz w:val="24"/>
          <w:szCs w:val="24"/>
        </w:rPr>
        <w:t xml:space="preserve">CONSIDERACIONES </w:t>
      </w:r>
      <w:r w:rsidR="00B52675" w:rsidRPr="00657143">
        <w:rPr>
          <w:rFonts w:ascii="Arial" w:hAnsi="Arial" w:cs="Arial"/>
          <w:b/>
          <w:bCs/>
          <w:sz w:val="24"/>
          <w:szCs w:val="24"/>
        </w:rPr>
        <w:t>P</w:t>
      </w:r>
      <w:r w:rsidR="00B52675">
        <w:rPr>
          <w:rFonts w:ascii="Arial" w:hAnsi="Arial" w:cs="Arial"/>
          <w:b/>
          <w:bCs/>
          <w:sz w:val="24"/>
          <w:szCs w:val="24"/>
        </w:rPr>
        <w:t>ARA</w:t>
      </w:r>
      <w:r w:rsidRPr="00657143">
        <w:rPr>
          <w:rFonts w:ascii="Arial" w:hAnsi="Arial" w:cs="Arial"/>
          <w:b/>
          <w:bCs/>
          <w:sz w:val="24"/>
          <w:szCs w:val="24"/>
        </w:rPr>
        <w:t xml:space="preserve"> TENER EN CUENTA EN LA ELABORACIÓN DEL ANTEPROYECTO DE LEY</w:t>
      </w:r>
    </w:p>
    <w:p w14:paraId="0433E0E1" w14:textId="15A3CE7A" w:rsidR="00497662" w:rsidRDefault="00497662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En cualquier caso, la revisión y actualización de incentivos (en este caso, especialmente de las bonificaciones de Seguridad Social) a la contratación y mantenimiento del empleo de las personas con discapacidad </w:t>
      </w:r>
      <w:r w:rsidRPr="00497662">
        <w:rPr>
          <w:rFonts w:ascii="Arial" w:hAnsi="Arial" w:cs="Arial"/>
          <w:sz w:val="24"/>
          <w:szCs w:val="24"/>
        </w:rPr>
        <w:t xml:space="preserve">debe realizarse actualizando y adecuando sus cuantías a la realidad </w:t>
      </w:r>
      <w:r w:rsidR="00A1079B">
        <w:rPr>
          <w:rFonts w:ascii="Arial" w:hAnsi="Arial" w:cs="Arial"/>
          <w:sz w:val="24"/>
          <w:szCs w:val="24"/>
        </w:rPr>
        <w:t>presente</w:t>
      </w:r>
      <w:r w:rsidRPr="00497662">
        <w:rPr>
          <w:rFonts w:ascii="Arial" w:hAnsi="Arial" w:cs="Arial"/>
          <w:sz w:val="24"/>
          <w:szCs w:val="24"/>
        </w:rPr>
        <w:t xml:space="preserve"> del mercado laboral que debe ser inclusivo en relación con las personas con discapacidad. Y no puede suponer</w:t>
      </w:r>
      <w:r>
        <w:rPr>
          <w:rFonts w:ascii="Arial" w:hAnsi="Arial" w:cs="Arial"/>
          <w:sz w:val="24"/>
          <w:szCs w:val="24"/>
        </w:rPr>
        <w:t xml:space="preserve">, </w:t>
      </w:r>
      <w:r w:rsidRPr="00497662">
        <w:rPr>
          <w:rFonts w:ascii="Arial" w:hAnsi="Arial" w:cs="Arial"/>
          <w:sz w:val="24"/>
          <w:szCs w:val="24"/>
        </w:rPr>
        <w:t>en ningún caso</w:t>
      </w:r>
      <w:r>
        <w:rPr>
          <w:rFonts w:ascii="Arial" w:hAnsi="Arial" w:cs="Arial"/>
          <w:sz w:val="24"/>
          <w:szCs w:val="24"/>
        </w:rPr>
        <w:t>,</w:t>
      </w:r>
      <w:r w:rsidRPr="00497662">
        <w:rPr>
          <w:rFonts w:ascii="Arial" w:hAnsi="Arial" w:cs="Arial"/>
          <w:sz w:val="24"/>
          <w:szCs w:val="24"/>
        </w:rPr>
        <w:t xml:space="preserve"> la desaparición o minoración de </w:t>
      </w:r>
      <w:r w:rsidR="00D32738">
        <w:rPr>
          <w:rFonts w:ascii="Arial" w:hAnsi="Arial" w:cs="Arial"/>
          <w:sz w:val="24"/>
          <w:szCs w:val="24"/>
        </w:rPr>
        <w:t xml:space="preserve">los incentivos, ayudas o bonificaciones </w:t>
      </w:r>
      <w:r w:rsidRPr="00497662">
        <w:rPr>
          <w:rFonts w:ascii="Arial" w:hAnsi="Arial" w:cs="Arial"/>
          <w:sz w:val="24"/>
          <w:szCs w:val="24"/>
        </w:rPr>
        <w:t xml:space="preserve">destinadas a la contratación de </w:t>
      </w:r>
      <w:r w:rsidR="00A8068B">
        <w:rPr>
          <w:rFonts w:ascii="Arial" w:hAnsi="Arial" w:cs="Arial"/>
          <w:sz w:val="24"/>
          <w:szCs w:val="24"/>
        </w:rPr>
        <w:t>persona</w:t>
      </w:r>
      <w:r w:rsidR="00D32738">
        <w:rPr>
          <w:rFonts w:ascii="Arial" w:hAnsi="Arial" w:cs="Arial"/>
          <w:sz w:val="24"/>
          <w:szCs w:val="24"/>
        </w:rPr>
        <w:t>s</w:t>
      </w:r>
      <w:r w:rsidR="00A8068B">
        <w:rPr>
          <w:rFonts w:ascii="Arial" w:hAnsi="Arial" w:cs="Arial"/>
          <w:sz w:val="24"/>
          <w:szCs w:val="24"/>
        </w:rPr>
        <w:t xml:space="preserve"> con discapacidad </w:t>
      </w:r>
      <w:r w:rsidRPr="00497662">
        <w:rPr>
          <w:rFonts w:ascii="Arial" w:hAnsi="Arial" w:cs="Arial"/>
          <w:sz w:val="24"/>
          <w:szCs w:val="24"/>
        </w:rPr>
        <w:t>con un grado de discapacidad igual o superior al 33</w:t>
      </w:r>
      <w:r w:rsidR="00A1079B">
        <w:rPr>
          <w:rFonts w:ascii="Arial" w:hAnsi="Arial" w:cs="Arial"/>
          <w:sz w:val="24"/>
          <w:szCs w:val="24"/>
        </w:rPr>
        <w:t xml:space="preserve"> </w:t>
      </w:r>
      <w:r w:rsidRPr="00497662">
        <w:rPr>
          <w:rFonts w:ascii="Arial" w:hAnsi="Arial" w:cs="Arial"/>
          <w:sz w:val="24"/>
          <w:szCs w:val="24"/>
        </w:rPr>
        <w:t>%, ya que se han revelado como un incentivo fundamental para su empleabilidad.</w:t>
      </w:r>
      <w:r w:rsidR="00D32738">
        <w:rPr>
          <w:rFonts w:ascii="Arial" w:hAnsi="Arial" w:cs="Arial"/>
          <w:sz w:val="24"/>
          <w:szCs w:val="24"/>
        </w:rPr>
        <w:t xml:space="preserve"> </w:t>
      </w:r>
      <w:r w:rsidR="00F03379">
        <w:rPr>
          <w:rFonts w:ascii="Arial" w:hAnsi="Arial" w:cs="Arial"/>
          <w:sz w:val="24"/>
          <w:szCs w:val="24"/>
        </w:rPr>
        <w:t xml:space="preserve">Es decir, no debe suponer, </w:t>
      </w:r>
      <w:r w:rsidR="00F03379" w:rsidRPr="00F03379">
        <w:rPr>
          <w:rFonts w:ascii="Arial" w:hAnsi="Arial" w:cs="Arial"/>
          <w:sz w:val="24"/>
          <w:szCs w:val="24"/>
        </w:rPr>
        <w:t xml:space="preserve">en ningún caso, que el nivel de bonificaciones actuales, tanto en el empleo ordinario como en </w:t>
      </w:r>
      <w:r w:rsidR="00B52675">
        <w:rPr>
          <w:rFonts w:ascii="Arial" w:hAnsi="Arial" w:cs="Arial"/>
          <w:sz w:val="24"/>
          <w:szCs w:val="24"/>
        </w:rPr>
        <w:t>el protegido</w:t>
      </w:r>
      <w:r w:rsidR="00A1079B">
        <w:rPr>
          <w:rFonts w:ascii="Arial" w:hAnsi="Arial" w:cs="Arial"/>
          <w:sz w:val="24"/>
          <w:szCs w:val="24"/>
        </w:rPr>
        <w:t xml:space="preserve"> (</w:t>
      </w:r>
      <w:r w:rsidR="00F03379" w:rsidRPr="00F03379">
        <w:rPr>
          <w:rFonts w:ascii="Arial" w:hAnsi="Arial" w:cs="Arial"/>
          <w:sz w:val="24"/>
          <w:szCs w:val="24"/>
        </w:rPr>
        <w:t>los centros especiales de empleo</w:t>
      </w:r>
      <w:r w:rsidR="00A1079B">
        <w:rPr>
          <w:rFonts w:ascii="Arial" w:hAnsi="Arial" w:cs="Arial"/>
          <w:sz w:val="24"/>
          <w:szCs w:val="24"/>
        </w:rPr>
        <w:t>)</w:t>
      </w:r>
      <w:r w:rsidR="00F03379" w:rsidRPr="00F03379">
        <w:rPr>
          <w:rFonts w:ascii="Arial" w:hAnsi="Arial" w:cs="Arial"/>
          <w:sz w:val="24"/>
          <w:szCs w:val="24"/>
        </w:rPr>
        <w:t>, se viese reducido.</w:t>
      </w:r>
      <w:r w:rsidR="00F03379">
        <w:rPr>
          <w:rFonts w:ascii="Arial" w:hAnsi="Arial" w:cs="Arial"/>
          <w:sz w:val="24"/>
          <w:szCs w:val="24"/>
        </w:rPr>
        <w:t xml:space="preserve"> </w:t>
      </w:r>
    </w:p>
    <w:p w14:paraId="3D5122C7" w14:textId="17E34B5D" w:rsidR="00F03379" w:rsidRPr="00F03379" w:rsidRDefault="00F03379" w:rsidP="00CD7872">
      <w:pPr>
        <w:pStyle w:val="Prrafodelista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nivel de las bonificaciones debería incrementarse </w:t>
      </w:r>
      <w:r w:rsidRPr="00F03379">
        <w:rPr>
          <w:rFonts w:ascii="Arial" w:hAnsi="Arial" w:cs="Arial"/>
          <w:sz w:val="24"/>
          <w:szCs w:val="24"/>
        </w:rPr>
        <w:t xml:space="preserve">en las contrataciones de personas con discapacidad en empresas ordinarias, </w:t>
      </w:r>
      <w:r w:rsidR="00A1079B">
        <w:rPr>
          <w:rFonts w:ascii="Arial" w:hAnsi="Arial" w:cs="Arial"/>
          <w:sz w:val="24"/>
          <w:szCs w:val="24"/>
        </w:rPr>
        <w:t xml:space="preserve">con el </w:t>
      </w:r>
      <w:r w:rsidRPr="00F03379">
        <w:rPr>
          <w:rFonts w:ascii="Arial" w:hAnsi="Arial" w:cs="Arial"/>
          <w:sz w:val="24"/>
          <w:szCs w:val="24"/>
        </w:rPr>
        <w:t>objeto de fomentar y mejorar las contrataciones en empleo ordinario y en los tránsitos desde el empleo protegido.</w:t>
      </w:r>
    </w:p>
    <w:p w14:paraId="7465B9F3" w14:textId="39279BD0" w:rsidR="00D32738" w:rsidRDefault="00F03379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necesario también, </w:t>
      </w:r>
      <w:r w:rsidR="00D32738" w:rsidRPr="00F03379">
        <w:rPr>
          <w:rFonts w:ascii="Arial" w:hAnsi="Arial" w:cs="Arial"/>
          <w:sz w:val="24"/>
          <w:szCs w:val="24"/>
        </w:rPr>
        <w:t>incluir a las personas con una incapacidad permanente total, absoluta o gran invalidez</w:t>
      </w:r>
      <w:r w:rsidRPr="00F03379">
        <w:rPr>
          <w:rFonts w:ascii="Arial" w:hAnsi="Arial" w:cs="Arial"/>
          <w:sz w:val="24"/>
          <w:szCs w:val="24"/>
        </w:rPr>
        <w:t xml:space="preserve"> como beneficiarias de los incentivos, ayudas o bonificaciones</w:t>
      </w:r>
      <w:r w:rsidR="00A1079B">
        <w:rPr>
          <w:rFonts w:ascii="Arial" w:hAnsi="Arial" w:cs="Arial"/>
          <w:sz w:val="24"/>
          <w:szCs w:val="24"/>
        </w:rPr>
        <w:t>, para promover su empleabilidad y aligerar el esfuerzo en prestaciones pasivas de Seguridad Social (pensiones)</w:t>
      </w:r>
      <w:r w:rsidRPr="00F03379">
        <w:rPr>
          <w:rFonts w:ascii="Arial" w:hAnsi="Arial" w:cs="Arial"/>
          <w:sz w:val="24"/>
          <w:szCs w:val="24"/>
        </w:rPr>
        <w:t>.</w:t>
      </w:r>
    </w:p>
    <w:p w14:paraId="70AAF1B9" w14:textId="5F303111" w:rsidR="00D84EFB" w:rsidRDefault="00497662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La configuración de la bonificación </w:t>
      </w:r>
      <w:r w:rsidR="00F03379">
        <w:rPr>
          <w:rFonts w:ascii="Arial" w:hAnsi="Arial" w:cs="Arial"/>
          <w:sz w:val="24"/>
          <w:szCs w:val="24"/>
        </w:rPr>
        <w:t xml:space="preserve">de las cuotas de Seguridad Social </w:t>
      </w:r>
      <w:r>
        <w:rPr>
          <w:rFonts w:ascii="Arial" w:hAnsi="Arial" w:cs="Arial"/>
          <w:sz w:val="24"/>
          <w:szCs w:val="24"/>
        </w:rPr>
        <w:t>debería estar siempre referenciada a un porcentaje, tanto en el empleo ordinario, como en el empleo protegido como en el autoempleo</w:t>
      </w:r>
      <w:r w:rsidR="00A8068B">
        <w:rPr>
          <w:rFonts w:ascii="Arial" w:hAnsi="Arial" w:cs="Arial"/>
          <w:sz w:val="24"/>
          <w:szCs w:val="24"/>
        </w:rPr>
        <w:t xml:space="preserve">. </w:t>
      </w:r>
      <w:r w:rsidR="00D84EFB">
        <w:rPr>
          <w:rFonts w:ascii="Arial" w:hAnsi="Arial" w:cs="Arial"/>
          <w:sz w:val="24"/>
          <w:szCs w:val="24"/>
        </w:rPr>
        <w:t>Garantizando, en todo caso, un porcentaje del 100</w:t>
      </w:r>
      <w:r w:rsidR="00A1079B">
        <w:rPr>
          <w:rFonts w:ascii="Arial" w:hAnsi="Arial" w:cs="Arial"/>
          <w:sz w:val="24"/>
          <w:szCs w:val="24"/>
        </w:rPr>
        <w:t xml:space="preserve"> </w:t>
      </w:r>
      <w:r w:rsidR="00D84EFB">
        <w:rPr>
          <w:rFonts w:ascii="Arial" w:hAnsi="Arial" w:cs="Arial"/>
          <w:sz w:val="24"/>
          <w:szCs w:val="24"/>
        </w:rPr>
        <w:t>% de bonificación para los salarios cuya cuantía sea el S</w:t>
      </w:r>
      <w:r w:rsidR="00A1079B">
        <w:rPr>
          <w:rFonts w:ascii="Arial" w:hAnsi="Arial" w:cs="Arial"/>
          <w:sz w:val="24"/>
          <w:szCs w:val="24"/>
        </w:rPr>
        <w:t>alario Mínimo Interprofesional</w:t>
      </w:r>
      <w:r w:rsidR="00D84EFB">
        <w:rPr>
          <w:rFonts w:ascii="Arial" w:hAnsi="Arial" w:cs="Arial"/>
          <w:sz w:val="24"/>
          <w:szCs w:val="24"/>
        </w:rPr>
        <w:t>.</w:t>
      </w:r>
    </w:p>
    <w:p w14:paraId="15AE280D" w14:textId="784644C5" w:rsidR="00A8068B" w:rsidRDefault="00A8068B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Pr="00A8068B">
        <w:rPr>
          <w:rFonts w:ascii="Arial" w:hAnsi="Arial" w:cs="Arial"/>
          <w:sz w:val="24"/>
          <w:szCs w:val="24"/>
        </w:rPr>
        <w:t xml:space="preserve">necesario tener en cuenta que cambios como el realizado por la Ley 43/2006, de 29 de diciembre, para la mejora del crecimiento y del empleo, al modificar </w:t>
      </w:r>
      <w:r>
        <w:rPr>
          <w:rFonts w:ascii="Arial" w:hAnsi="Arial" w:cs="Arial"/>
          <w:sz w:val="24"/>
          <w:szCs w:val="24"/>
        </w:rPr>
        <w:t xml:space="preserve">en la contratación ordinaria </w:t>
      </w:r>
      <w:r w:rsidRPr="00A8068B">
        <w:rPr>
          <w:rFonts w:ascii="Arial" w:hAnsi="Arial" w:cs="Arial"/>
          <w:sz w:val="24"/>
          <w:szCs w:val="24"/>
        </w:rPr>
        <w:t xml:space="preserve">un tanto por ciento de la bonificación a una cuantía fija, </w:t>
      </w:r>
      <w:r>
        <w:rPr>
          <w:rFonts w:ascii="Arial" w:hAnsi="Arial" w:cs="Arial"/>
          <w:sz w:val="24"/>
          <w:szCs w:val="24"/>
        </w:rPr>
        <w:t xml:space="preserve">llego a </w:t>
      </w:r>
      <w:r w:rsidRPr="00A8068B">
        <w:rPr>
          <w:rFonts w:ascii="Arial" w:hAnsi="Arial" w:cs="Arial"/>
          <w:sz w:val="24"/>
          <w:szCs w:val="24"/>
        </w:rPr>
        <w:t xml:space="preserve">desincentivar los trabajos de mayor cualificación o cuantía económica, al ser las ayudas poco interesantes en función del salario </w:t>
      </w:r>
      <w:r w:rsidR="00A1079B">
        <w:rPr>
          <w:rFonts w:ascii="Arial" w:hAnsi="Arial" w:cs="Arial"/>
          <w:sz w:val="24"/>
          <w:szCs w:val="24"/>
        </w:rPr>
        <w:t>que se va a</w:t>
      </w:r>
      <w:r w:rsidRPr="00A8068B">
        <w:rPr>
          <w:rFonts w:ascii="Arial" w:hAnsi="Arial" w:cs="Arial"/>
          <w:sz w:val="24"/>
          <w:szCs w:val="24"/>
        </w:rPr>
        <w:t xml:space="preserve"> percibir.</w:t>
      </w:r>
      <w:r w:rsidR="00A1079B">
        <w:rPr>
          <w:rFonts w:ascii="Arial" w:hAnsi="Arial" w:cs="Arial"/>
          <w:sz w:val="24"/>
          <w:szCs w:val="24"/>
        </w:rPr>
        <w:t xml:space="preserve"> No se pueden cometer ese tipo de errores legislativos nuevamente.</w:t>
      </w:r>
    </w:p>
    <w:p w14:paraId="2AD0A889" w14:textId="2C318CCD" w:rsidR="00F03379" w:rsidRDefault="00F03379" w:rsidP="00CD7872">
      <w:pPr>
        <w:pStyle w:val="Prrafodelista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F03379">
        <w:rPr>
          <w:rFonts w:ascii="Arial" w:hAnsi="Arial" w:cs="Arial"/>
          <w:sz w:val="24"/>
          <w:szCs w:val="24"/>
        </w:rPr>
        <w:t xml:space="preserve">Por otra parte, en relación con el rediseño de los objetivos para la contratación de personas con discapacidad, </w:t>
      </w:r>
      <w:r w:rsidR="007836CC" w:rsidRPr="007836CC">
        <w:rPr>
          <w:rFonts w:ascii="Arial" w:hAnsi="Arial" w:cs="Arial"/>
          <w:sz w:val="24"/>
          <w:szCs w:val="24"/>
        </w:rPr>
        <w:t xml:space="preserve">compartimos firmemente que los </w:t>
      </w:r>
      <w:r w:rsidR="00A1079B">
        <w:rPr>
          <w:rFonts w:ascii="Arial" w:hAnsi="Arial" w:cs="Arial"/>
          <w:sz w:val="24"/>
          <w:szCs w:val="24"/>
        </w:rPr>
        <w:t>segmentos</w:t>
      </w:r>
      <w:r w:rsidR="007836CC" w:rsidRPr="007836CC">
        <w:rPr>
          <w:rFonts w:ascii="Arial" w:hAnsi="Arial" w:cs="Arial"/>
          <w:sz w:val="24"/>
          <w:szCs w:val="24"/>
        </w:rPr>
        <w:t xml:space="preserve"> con especiales dificultades requieren de una acción positiva reforzada y especial atención</w:t>
      </w:r>
      <w:r w:rsidRPr="00F03379">
        <w:rPr>
          <w:rFonts w:ascii="Arial" w:hAnsi="Arial" w:cs="Arial"/>
          <w:sz w:val="24"/>
          <w:szCs w:val="24"/>
        </w:rPr>
        <w:t>, de acuerdo con criterios objetivos de valoración y</w:t>
      </w:r>
      <w:r w:rsidR="0033719D">
        <w:rPr>
          <w:rFonts w:ascii="Arial" w:hAnsi="Arial" w:cs="Arial"/>
          <w:sz w:val="24"/>
          <w:szCs w:val="24"/>
        </w:rPr>
        <w:t xml:space="preserve"> reiteramos que,</w:t>
      </w:r>
      <w:r w:rsidRPr="00F03379">
        <w:rPr>
          <w:rFonts w:ascii="Arial" w:hAnsi="Arial" w:cs="Arial"/>
          <w:sz w:val="24"/>
          <w:szCs w:val="24"/>
        </w:rPr>
        <w:t xml:space="preserve"> en todo caso, </w:t>
      </w:r>
      <w:r w:rsidR="007836CC" w:rsidRPr="007836CC">
        <w:rPr>
          <w:rFonts w:ascii="Arial" w:hAnsi="Arial" w:cs="Arial"/>
          <w:sz w:val="24"/>
          <w:szCs w:val="24"/>
        </w:rPr>
        <w:t>es indispensable que se mantenga sin minoración el apoyo general dirigido a todas las personas con discapacidad</w:t>
      </w:r>
      <w:r w:rsidR="00A1079B">
        <w:rPr>
          <w:rFonts w:ascii="Arial" w:hAnsi="Arial" w:cs="Arial"/>
          <w:sz w:val="24"/>
          <w:szCs w:val="24"/>
        </w:rPr>
        <w:t xml:space="preserve"> existente en este momento. La nueva Ley no puede perjudicar a las personas con discapa</w:t>
      </w:r>
      <w:r w:rsidR="00B52675">
        <w:rPr>
          <w:rFonts w:ascii="Arial" w:hAnsi="Arial" w:cs="Arial"/>
          <w:sz w:val="24"/>
          <w:szCs w:val="24"/>
        </w:rPr>
        <w:t>cidad, rebajando el nivel de ayudas.</w:t>
      </w:r>
    </w:p>
    <w:p w14:paraId="5E68321F" w14:textId="58D7D3B7" w:rsidR="00A8563B" w:rsidRDefault="00A8563B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A8563B">
        <w:rPr>
          <w:rFonts w:ascii="Arial" w:hAnsi="Arial" w:cs="Arial"/>
          <w:sz w:val="24"/>
          <w:szCs w:val="24"/>
        </w:rPr>
        <w:t xml:space="preserve">Incluir la interseccionalidad como elemento clave en la intervención sobre el </w:t>
      </w:r>
      <w:r w:rsidR="00B52675">
        <w:rPr>
          <w:rFonts w:ascii="Arial" w:hAnsi="Arial" w:cs="Arial"/>
          <w:sz w:val="24"/>
          <w:szCs w:val="24"/>
        </w:rPr>
        <w:t>grupo</w:t>
      </w:r>
      <w:r w:rsidRPr="00A8563B">
        <w:rPr>
          <w:rFonts w:ascii="Arial" w:hAnsi="Arial" w:cs="Arial"/>
          <w:sz w:val="24"/>
          <w:szCs w:val="24"/>
        </w:rPr>
        <w:t xml:space="preserve"> de personas con discapacidad.</w:t>
      </w:r>
      <w:r w:rsidRPr="00A8563B">
        <w:t xml:space="preserve"> </w:t>
      </w:r>
      <w:r w:rsidRPr="00A8563B">
        <w:rPr>
          <w:rFonts w:ascii="Arial" w:hAnsi="Arial" w:cs="Arial"/>
          <w:sz w:val="24"/>
          <w:szCs w:val="24"/>
        </w:rPr>
        <w:t xml:space="preserve">Situaciones generales como la edad, la situación de riesgo o exclusión social, el género, </w:t>
      </w:r>
      <w:r w:rsidR="000E5C24">
        <w:rPr>
          <w:rFonts w:ascii="Arial" w:hAnsi="Arial" w:cs="Arial"/>
          <w:sz w:val="24"/>
          <w:szCs w:val="24"/>
        </w:rPr>
        <w:t xml:space="preserve">el acceso al primer empleo, </w:t>
      </w:r>
      <w:r w:rsidRPr="00A8563B">
        <w:rPr>
          <w:rFonts w:ascii="Arial" w:hAnsi="Arial" w:cs="Arial"/>
          <w:sz w:val="24"/>
          <w:szCs w:val="24"/>
        </w:rPr>
        <w:t xml:space="preserve">ser parado de larga duración, la ruralidad, la falta de formación mínima, </w:t>
      </w:r>
      <w:r>
        <w:rPr>
          <w:rFonts w:ascii="Arial" w:hAnsi="Arial" w:cs="Arial"/>
          <w:sz w:val="24"/>
          <w:szCs w:val="24"/>
        </w:rPr>
        <w:t xml:space="preserve">procesos degenerativos y de envejecimiento, </w:t>
      </w:r>
      <w:r w:rsidRPr="00A8563B">
        <w:rPr>
          <w:rFonts w:ascii="Arial" w:hAnsi="Arial" w:cs="Arial"/>
          <w:sz w:val="24"/>
          <w:szCs w:val="24"/>
        </w:rPr>
        <w:t xml:space="preserve">etc., </w:t>
      </w:r>
      <w:r>
        <w:rPr>
          <w:rFonts w:ascii="Arial" w:hAnsi="Arial" w:cs="Arial"/>
          <w:sz w:val="24"/>
          <w:szCs w:val="24"/>
        </w:rPr>
        <w:t xml:space="preserve">son </w:t>
      </w:r>
      <w:r w:rsidR="000E5C24">
        <w:rPr>
          <w:rFonts w:ascii="Arial" w:hAnsi="Arial" w:cs="Arial"/>
          <w:sz w:val="24"/>
          <w:szCs w:val="24"/>
        </w:rPr>
        <w:t>elementos para tener</w:t>
      </w:r>
      <w:r w:rsidRPr="00A8563B">
        <w:rPr>
          <w:rFonts w:ascii="Arial" w:hAnsi="Arial" w:cs="Arial"/>
          <w:sz w:val="24"/>
          <w:szCs w:val="24"/>
        </w:rPr>
        <w:t xml:space="preserve"> en cuenta con el factor multiplicador de la </w:t>
      </w:r>
      <w:r w:rsidR="000E5C24">
        <w:rPr>
          <w:rFonts w:ascii="Arial" w:hAnsi="Arial" w:cs="Arial"/>
          <w:sz w:val="24"/>
          <w:szCs w:val="24"/>
        </w:rPr>
        <w:t>discriminación que sufren las personas con discapacidad</w:t>
      </w:r>
      <w:r w:rsidRPr="00A8563B">
        <w:rPr>
          <w:rFonts w:ascii="Arial" w:hAnsi="Arial" w:cs="Arial"/>
          <w:sz w:val="24"/>
          <w:szCs w:val="24"/>
        </w:rPr>
        <w:t>.</w:t>
      </w:r>
    </w:p>
    <w:p w14:paraId="2C5C32E8" w14:textId="6AE1F27D" w:rsidR="00A8068B" w:rsidRDefault="00A8563B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068B">
        <w:rPr>
          <w:rFonts w:ascii="Arial" w:hAnsi="Arial" w:cs="Arial"/>
          <w:sz w:val="24"/>
          <w:szCs w:val="24"/>
        </w:rPr>
        <w:t xml:space="preserve">.- </w:t>
      </w:r>
      <w:r w:rsidR="00D32738">
        <w:rPr>
          <w:rFonts w:ascii="Arial" w:hAnsi="Arial" w:cs="Arial"/>
          <w:sz w:val="24"/>
          <w:szCs w:val="24"/>
        </w:rPr>
        <w:t>En el caso de los Centros Especiales de Empleo de Iniciativa Social debe garantizarse una bonificación del 100</w:t>
      </w:r>
      <w:r w:rsidR="00B52675">
        <w:rPr>
          <w:rFonts w:ascii="Arial" w:hAnsi="Arial" w:cs="Arial"/>
          <w:sz w:val="24"/>
          <w:szCs w:val="24"/>
        </w:rPr>
        <w:t xml:space="preserve"> </w:t>
      </w:r>
      <w:r w:rsidR="00D32738">
        <w:rPr>
          <w:rFonts w:ascii="Arial" w:hAnsi="Arial" w:cs="Arial"/>
          <w:sz w:val="24"/>
          <w:szCs w:val="24"/>
        </w:rPr>
        <w:t>% de las cuotas en la Seguridad Social a todas las personas con discapacidad trabajadoras de los mismos</w:t>
      </w:r>
      <w:r w:rsidR="008B7A19">
        <w:rPr>
          <w:rFonts w:ascii="Arial" w:hAnsi="Arial" w:cs="Arial"/>
          <w:sz w:val="24"/>
          <w:szCs w:val="24"/>
        </w:rPr>
        <w:t xml:space="preserve"> y aplicable a todas las tipologías de contrato, y durante toda la </w:t>
      </w:r>
      <w:r w:rsidR="00375D98">
        <w:rPr>
          <w:rFonts w:ascii="Arial" w:hAnsi="Arial" w:cs="Arial"/>
          <w:sz w:val="24"/>
          <w:szCs w:val="24"/>
        </w:rPr>
        <w:t>vigencia del contrato</w:t>
      </w:r>
      <w:r w:rsidR="00DD1BAB">
        <w:rPr>
          <w:rFonts w:ascii="Arial" w:hAnsi="Arial" w:cs="Arial"/>
          <w:sz w:val="24"/>
          <w:szCs w:val="24"/>
        </w:rPr>
        <w:t xml:space="preserve">. </w:t>
      </w:r>
    </w:p>
    <w:p w14:paraId="0E149746" w14:textId="12BDAA1C" w:rsidR="00E478E2" w:rsidRDefault="00751844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D48F2">
        <w:rPr>
          <w:rFonts w:ascii="Arial" w:hAnsi="Arial" w:cs="Arial"/>
          <w:sz w:val="24"/>
          <w:szCs w:val="24"/>
        </w:rPr>
        <w:t xml:space="preserve">.- </w:t>
      </w:r>
      <w:r w:rsidR="00DD1BAB">
        <w:rPr>
          <w:rFonts w:ascii="Arial" w:hAnsi="Arial" w:cs="Arial"/>
          <w:sz w:val="24"/>
          <w:szCs w:val="24"/>
        </w:rPr>
        <w:t xml:space="preserve">Extender </w:t>
      </w:r>
      <w:r w:rsidR="009D48F2">
        <w:rPr>
          <w:rFonts w:ascii="Arial" w:hAnsi="Arial" w:cs="Arial"/>
          <w:sz w:val="24"/>
          <w:szCs w:val="24"/>
        </w:rPr>
        <w:t>las bon</w:t>
      </w:r>
      <w:r w:rsidR="00BD54B2">
        <w:rPr>
          <w:rFonts w:ascii="Arial" w:hAnsi="Arial" w:cs="Arial"/>
          <w:sz w:val="24"/>
          <w:szCs w:val="24"/>
        </w:rPr>
        <w:t>ificaciones a la contratación de personas con discapacidad</w:t>
      </w:r>
      <w:r w:rsidR="008B7A19">
        <w:rPr>
          <w:rFonts w:ascii="Arial" w:hAnsi="Arial" w:cs="Arial"/>
          <w:sz w:val="24"/>
          <w:szCs w:val="24"/>
        </w:rPr>
        <w:t xml:space="preserve"> en el empleo ordinario</w:t>
      </w:r>
      <w:r w:rsidR="00BD54B2">
        <w:rPr>
          <w:rFonts w:ascii="Arial" w:hAnsi="Arial" w:cs="Arial"/>
          <w:sz w:val="24"/>
          <w:szCs w:val="24"/>
        </w:rPr>
        <w:t xml:space="preserve"> </w:t>
      </w:r>
      <w:r w:rsidR="00DD1BAB">
        <w:rPr>
          <w:rFonts w:ascii="Arial" w:hAnsi="Arial" w:cs="Arial"/>
          <w:sz w:val="24"/>
          <w:szCs w:val="24"/>
        </w:rPr>
        <w:t xml:space="preserve">a cualquier </w:t>
      </w:r>
      <w:r>
        <w:rPr>
          <w:rFonts w:ascii="Arial" w:hAnsi="Arial" w:cs="Arial"/>
          <w:sz w:val="24"/>
          <w:szCs w:val="24"/>
        </w:rPr>
        <w:t xml:space="preserve">modalidad </w:t>
      </w:r>
      <w:r w:rsidR="00DD1BAB">
        <w:rPr>
          <w:rFonts w:ascii="Arial" w:hAnsi="Arial" w:cs="Arial"/>
          <w:sz w:val="24"/>
          <w:szCs w:val="24"/>
        </w:rPr>
        <w:t>de contrato</w:t>
      </w:r>
      <w:r>
        <w:rPr>
          <w:rFonts w:ascii="Arial" w:hAnsi="Arial" w:cs="Arial"/>
          <w:sz w:val="24"/>
          <w:szCs w:val="24"/>
        </w:rPr>
        <w:t xml:space="preserve"> que pueda ser utilizado </w:t>
      </w:r>
      <w:r w:rsidR="00DD1BAB">
        <w:rPr>
          <w:rFonts w:ascii="Arial" w:hAnsi="Arial" w:cs="Arial"/>
          <w:sz w:val="24"/>
          <w:szCs w:val="24"/>
        </w:rPr>
        <w:t>y durante toda la vigencia de este</w:t>
      </w:r>
      <w:r>
        <w:rPr>
          <w:rFonts w:ascii="Arial" w:hAnsi="Arial" w:cs="Arial"/>
          <w:sz w:val="24"/>
          <w:szCs w:val="24"/>
        </w:rPr>
        <w:t>, como medida de fomento de empleo</w:t>
      </w:r>
      <w:r w:rsidR="00DD1BAB">
        <w:rPr>
          <w:rFonts w:ascii="Arial" w:hAnsi="Arial" w:cs="Arial"/>
          <w:sz w:val="24"/>
          <w:szCs w:val="24"/>
        </w:rPr>
        <w:t xml:space="preserve">. </w:t>
      </w:r>
    </w:p>
    <w:p w14:paraId="6AD5DBDE" w14:textId="57138AF3" w:rsidR="00DD1BAB" w:rsidRDefault="00751844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1BAB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Bonificar </w:t>
      </w:r>
      <w:r w:rsidR="00DD1BAB">
        <w:rPr>
          <w:rFonts w:ascii="Arial" w:hAnsi="Arial" w:cs="Arial"/>
          <w:sz w:val="24"/>
          <w:szCs w:val="24"/>
        </w:rPr>
        <w:t>en mayor medida la contratación de personas con discapacidad en entidades de iniciativa social y de la economía social</w:t>
      </w:r>
      <w:r>
        <w:rPr>
          <w:rFonts w:ascii="Arial" w:hAnsi="Arial" w:cs="Arial"/>
          <w:sz w:val="24"/>
          <w:szCs w:val="24"/>
        </w:rPr>
        <w:t>.</w:t>
      </w:r>
    </w:p>
    <w:p w14:paraId="59741B37" w14:textId="0E2E543A" w:rsidR="00DD1BAB" w:rsidRDefault="00751844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1BAB">
        <w:rPr>
          <w:rFonts w:ascii="Arial" w:hAnsi="Arial" w:cs="Arial"/>
          <w:sz w:val="24"/>
          <w:szCs w:val="24"/>
        </w:rPr>
        <w:t>.- Establecer, además de las ayudas existentes en la actualidad, bonificaciones a la seguridad social para la contratación del personal de la Unidades de Apoyo</w:t>
      </w:r>
      <w:r>
        <w:rPr>
          <w:rFonts w:ascii="Arial" w:hAnsi="Arial" w:cs="Arial"/>
          <w:sz w:val="24"/>
          <w:szCs w:val="24"/>
        </w:rPr>
        <w:t xml:space="preserve"> y de los equipos de ajuste personal y social</w:t>
      </w:r>
      <w:r w:rsidR="00DD1BAB">
        <w:rPr>
          <w:rFonts w:ascii="Arial" w:hAnsi="Arial" w:cs="Arial"/>
          <w:sz w:val="24"/>
          <w:szCs w:val="24"/>
        </w:rPr>
        <w:t xml:space="preserve"> en los centros especiales de empleo de iniciativa social y para la contratación de preparadores laborales de los servicios de empleo con apoyo.</w:t>
      </w:r>
    </w:p>
    <w:p w14:paraId="674C5E79" w14:textId="28CDCD83" w:rsidR="00497662" w:rsidRDefault="00751844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82CE9">
        <w:rPr>
          <w:rFonts w:ascii="Arial" w:hAnsi="Arial" w:cs="Arial"/>
          <w:sz w:val="24"/>
          <w:szCs w:val="24"/>
        </w:rPr>
        <w:t xml:space="preserve">.- </w:t>
      </w:r>
      <w:r w:rsidR="00082CE9" w:rsidRPr="00082CE9">
        <w:rPr>
          <w:rFonts w:ascii="Arial" w:hAnsi="Arial" w:cs="Arial"/>
          <w:sz w:val="24"/>
          <w:szCs w:val="24"/>
        </w:rPr>
        <w:t>Las</w:t>
      </w:r>
      <w:r w:rsidR="00082CE9">
        <w:rPr>
          <w:rFonts w:ascii="Arial" w:hAnsi="Arial" w:cs="Arial"/>
          <w:sz w:val="24"/>
          <w:szCs w:val="24"/>
        </w:rPr>
        <w:t xml:space="preserve"> bonificaciones de las personas con discapacidad en el régimen de autónomos</w:t>
      </w:r>
      <w:r w:rsidR="00B52675">
        <w:rPr>
          <w:rFonts w:ascii="Arial" w:hAnsi="Arial" w:cs="Arial"/>
          <w:sz w:val="24"/>
          <w:szCs w:val="24"/>
        </w:rPr>
        <w:t>, las grandes agraviadas en estos momentos,</w:t>
      </w:r>
      <w:r w:rsidR="00082CE9">
        <w:rPr>
          <w:rFonts w:ascii="Arial" w:hAnsi="Arial" w:cs="Arial"/>
          <w:sz w:val="24"/>
          <w:szCs w:val="24"/>
        </w:rPr>
        <w:t xml:space="preserve"> deberían extenderse mientras la persona está en alta en RETA</w:t>
      </w:r>
      <w:r w:rsidR="00B52675">
        <w:rPr>
          <w:rFonts w:ascii="Arial" w:hAnsi="Arial" w:cs="Arial"/>
          <w:sz w:val="24"/>
          <w:szCs w:val="24"/>
        </w:rPr>
        <w:t>, además de ver incrementadas sus cuantías a los niveles existentes para la contratación por cuenta ajena</w:t>
      </w:r>
      <w:r>
        <w:rPr>
          <w:rFonts w:ascii="Arial" w:hAnsi="Arial" w:cs="Arial"/>
          <w:sz w:val="24"/>
          <w:szCs w:val="24"/>
        </w:rPr>
        <w:t>.</w:t>
      </w:r>
      <w:r w:rsidR="00B52675">
        <w:rPr>
          <w:rFonts w:ascii="Arial" w:hAnsi="Arial" w:cs="Arial"/>
          <w:sz w:val="24"/>
          <w:szCs w:val="24"/>
        </w:rPr>
        <w:t xml:space="preserve"> No se puede ni se debe castigar al emprendedor social con discapacidad, como ocurre ahora.</w:t>
      </w:r>
    </w:p>
    <w:p w14:paraId="7A51D0FC" w14:textId="2FCB4ECE" w:rsidR="00B52675" w:rsidRDefault="00B52675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259B0709" w14:textId="45807763" w:rsidR="00B52675" w:rsidRPr="00B52675" w:rsidRDefault="00B52675" w:rsidP="00B52675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2675">
        <w:rPr>
          <w:rFonts w:ascii="Arial" w:hAnsi="Arial" w:cs="Arial"/>
          <w:b/>
          <w:bCs/>
          <w:sz w:val="24"/>
          <w:szCs w:val="24"/>
        </w:rPr>
        <w:t>CERMI</w:t>
      </w:r>
    </w:p>
    <w:p w14:paraId="6C70DE70" w14:textId="0E79FD04" w:rsidR="00B52675" w:rsidRPr="00B52675" w:rsidRDefault="001A6A89" w:rsidP="00B52675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B52675" w:rsidRPr="00B52675">
          <w:rPr>
            <w:rStyle w:val="Hipervnculo"/>
            <w:rFonts w:ascii="Arial" w:hAnsi="Arial" w:cs="Arial"/>
            <w:b/>
            <w:bCs/>
            <w:sz w:val="24"/>
            <w:szCs w:val="24"/>
          </w:rPr>
          <w:t>www.cermi.es</w:t>
        </w:r>
      </w:hyperlink>
    </w:p>
    <w:p w14:paraId="0BA6CC5C" w14:textId="77777777" w:rsidR="00B52675" w:rsidRPr="00497662" w:rsidRDefault="00B52675" w:rsidP="00CD787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B52675" w:rsidRPr="004976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A912" w14:textId="77777777" w:rsidR="001A6A89" w:rsidRDefault="001A6A89" w:rsidP="00963706">
      <w:pPr>
        <w:spacing w:after="0" w:line="240" w:lineRule="auto"/>
      </w:pPr>
      <w:r>
        <w:separator/>
      </w:r>
    </w:p>
  </w:endnote>
  <w:endnote w:type="continuationSeparator" w:id="0">
    <w:p w14:paraId="54BFAFDF" w14:textId="77777777" w:rsidR="001A6A89" w:rsidRDefault="001A6A89" w:rsidP="0096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0EB7" w14:textId="79134381" w:rsidR="00816708" w:rsidRDefault="0081670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F5FC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F5FC5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5B6043D6" w14:textId="77777777" w:rsidR="00816708" w:rsidRDefault="008167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8D85" w14:textId="77777777" w:rsidR="001A6A89" w:rsidRDefault="001A6A89" w:rsidP="00963706">
      <w:pPr>
        <w:spacing w:after="0" w:line="240" w:lineRule="auto"/>
      </w:pPr>
      <w:r>
        <w:separator/>
      </w:r>
    </w:p>
  </w:footnote>
  <w:footnote w:type="continuationSeparator" w:id="0">
    <w:p w14:paraId="255D5282" w14:textId="77777777" w:rsidR="001A6A89" w:rsidRDefault="001A6A89" w:rsidP="0096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499C" w14:textId="41E4435B" w:rsidR="00884E70" w:rsidRDefault="00884E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BB2C" w14:textId="6CF8C6B5" w:rsidR="003917AC" w:rsidRDefault="003917AC" w:rsidP="003917AC">
    <w:pPr>
      <w:pStyle w:val="Encabezado"/>
      <w:jc w:val="right"/>
    </w:pPr>
  </w:p>
  <w:p w14:paraId="385E51F5" w14:textId="77777777" w:rsidR="003917AC" w:rsidRDefault="003917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9476" w14:textId="7748E0C8" w:rsidR="00884E70" w:rsidRDefault="00884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D04"/>
    <w:multiLevelType w:val="hybridMultilevel"/>
    <w:tmpl w:val="9D8CA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AE4"/>
    <w:multiLevelType w:val="hybridMultilevel"/>
    <w:tmpl w:val="103E97DE"/>
    <w:lvl w:ilvl="0" w:tplc="935E0B04">
      <w:numFmt w:val="bullet"/>
      <w:lvlText w:val="-"/>
      <w:lvlJc w:val="left"/>
      <w:pPr>
        <w:ind w:left="720" w:hanging="360"/>
      </w:pPr>
      <w:rPr>
        <w:rFonts w:ascii="Fira Sans" w:eastAsia="Calibri" w:hAnsi="Fir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2D14"/>
    <w:multiLevelType w:val="hybridMultilevel"/>
    <w:tmpl w:val="19E4BCA4"/>
    <w:lvl w:ilvl="0" w:tplc="8FEA9B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C54F42"/>
    <w:multiLevelType w:val="hybridMultilevel"/>
    <w:tmpl w:val="C6F077DA"/>
    <w:lvl w:ilvl="0" w:tplc="AD983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6"/>
    <w:rsid w:val="00023E1C"/>
    <w:rsid w:val="000315DF"/>
    <w:rsid w:val="00050EA6"/>
    <w:rsid w:val="00082CE9"/>
    <w:rsid w:val="000922F1"/>
    <w:rsid w:val="000B478A"/>
    <w:rsid w:val="000E5C24"/>
    <w:rsid w:val="00163860"/>
    <w:rsid w:val="001A6A89"/>
    <w:rsid w:val="00206BAF"/>
    <w:rsid w:val="00231242"/>
    <w:rsid w:val="0023643C"/>
    <w:rsid w:val="00266BE6"/>
    <w:rsid w:val="00281097"/>
    <w:rsid w:val="002F0957"/>
    <w:rsid w:val="00330BB2"/>
    <w:rsid w:val="0033719D"/>
    <w:rsid w:val="00375D98"/>
    <w:rsid w:val="003917AC"/>
    <w:rsid w:val="003D74EB"/>
    <w:rsid w:val="003F3AE5"/>
    <w:rsid w:val="00410EF8"/>
    <w:rsid w:val="0041170E"/>
    <w:rsid w:val="00497662"/>
    <w:rsid w:val="005157BE"/>
    <w:rsid w:val="00546C44"/>
    <w:rsid w:val="00565A13"/>
    <w:rsid w:val="005D35A0"/>
    <w:rsid w:val="005E0447"/>
    <w:rsid w:val="005E3F89"/>
    <w:rsid w:val="00610381"/>
    <w:rsid w:val="00646125"/>
    <w:rsid w:val="00657143"/>
    <w:rsid w:val="00686804"/>
    <w:rsid w:val="006E6E50"/>
    <w:rsid w:val="00707C5F"/>
    <w:rsid w:val="00745999"/>
    <w:rsid w:val="00751844"/>
    <w:rsid w:val="007836CC"/>
    <w:rsid w:val="007C0D64"/>
    <w:rsid w:val="00816708"/>
    <w:rsid w:val="00884E70"/>
    <w:rsid w:val="00884F86"/>
    <w:rsid w:val="008B6206"/>
    <w:rsid w:val="008B7A19"/>
    <w:rsid w:val="00930148"/>
    <w:rsid w:val="009448A9"/>
    <w:rsid w:val="00963706"/>
    <w:rsid w:val="00975419"/>
    <w:rsid w:val="009B7F77"/>
    <w:rsid w:val="009D48F2"/>
    <w:rsid w:val="009F75B1"/>
    <w:rsid w:val="00A01556"/>
    <w:rsid w:val="00A1079B"/>
    <w:rsid w:val="00A8068B"/>
    <w:rsid w:val="00A8563B"/>
    <w:rsid w:val="00AE5DE5"/>
    <w:rsid w:val="00B10073"/>
    <w:rsid w:val="00B13A5F"/>
    <w:rsid w:val="00B16FAF"/>
    <w:rsid w:val="00B25C70"/>
    <w:rsid w:val="00B52675"/>
    <w:rsid w:val="00B55DA5"/>
    <w:rsid w:val="00B968EF"/>
    <w:rsid w:val="00BB20CB"/>
    <w:rsid w:val="00BD54B2"/>
    <w:rsid w:val="00C222F7"/>
    <w:rsid w:val="00C31D5C"/>
    <w:rsid w:val="00C7206C"/>
    <w:rsid w:val="00C82ED6"/>
    <w:rsid w:val="00CB03A0"/>
    <w:rsid w:val="00CB1D94"/>
    <w:rsid w:val="00CB6B02"/>
    <w:rsid w:val="00CD7872"/>
    <w:rsid w:val="00CF1B75"/>
    <w:rsid w:val="00CF5FC5"/>
    <w:rsid w:val="00D303C6"/>
    <w:rsid w:val="00D32738"/>
    <w:rsid w:val="00D35260"/>
    <w:rsid w:val="00D84EFB"/>
    <w:rsid w:val="00DA699D"/>
    <w:rsid w:val="00DD1BAB"/>
    <w:rsid w:val="00E478E2"/>
    <w:rsid w:val="00E9791D"/>
    <w:rsid w:val="00EB6493"/>
    <w:rsid w:val="00F03379"/>
    <w:rsid w:val="00F2741C"/>
    <w:rsid w:val="00F35AC9"/>
    <w:rsid w:val="00F81769"/>
    <w:rsid w:val="00FD5C4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2B06"/>
  <w15:chartTrackingRefBased/>
  <w15:docId w15:val="{7A7F8D03-B9B4-474C-8B9E-B811CFC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708"/>
  </w:style>
  <w:style w:type="paragraph" w:styleId="Piedepgina">
    <w:name w:val="footer"/>
    <w:basedOn w:val="Normal"/>
    <w:link w:val="PiedepginaCar"/>
    <w:uiPriority w:val="99"/>
    <w:unhideWhenUsed/>
    <w:rsid w:val="008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08"/>
  </w:style>
  <w:style w:type="table" w:styleId="Tablaconcuadrcula">
    <w:name w:val="Table Grid"/>
    <w:basedOn w:val="Tablanormal"/>
    <w:uiPriority w:val="59"/>
    <w:rsid w:val="00F2741C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7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5D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6BE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BE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66BE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571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143"/>
  </w:style>
  <w:style w:type="character" w:styleId="Hipervnculo">
    <w:name w:val="Hyperlink"/>
    <w:basedOn w:val="Fuentedeprrafopredeter"/>
    <w:uiPriority w:val="99"/>
    <w:unhideWhenUsed/>
    <w:rsid w:val="00B5267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mi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E3AB-DB66-4352-9A74-A54B1BB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Martínez, Josefa</dc:creator>
  <cp:keywords/>
  <dc:description/>
  <cp:lastModifiedBy>Cermi</cp:lastModifiedBy>
  <cp:revision>2</cp:revision>
  <cp:lastPrinted>2021-09-30T13:36:00Z</cp:lastPrinted>
  <dcterms:created xsi:type="dcterms:W3CDTF">2021-10-06T17:21:00Z</dcterms:created>
  <dcterms:modified xsi:type="dcterms:W3CDTF">2021-10-06T17:21:00Z</dcterms:modified>
</cp:coreProperties>
</file>