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21F58" w14:textId="77777777" w:rsidR="00E65A59" w:rsidRDefault="00E65A59" w:rsidP="00E65A59">
      <w:pPr>
        <w:pStyle w:val="Textoindependiente"/>
        <w:tabs>
          <w:tab w:val="left" w:pos="9072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706A5E15" w14:textId="17B32D87" w:rsidR="00E65A59" w:rsidRPr="00E65A59" w:rsidRDefault="00E65A59" w:rsidP="00E65A59">
      <w:pPr>
        <w:pStyle w:val="Textoindependiente"/>
        <w:tabs>
          <w:tab w:val="left" w:pos="4740"/>
        </w:tabs>
        <w:spacing w:line="276" w:lineRule="auto"/>
        <w:jc w:val="center"/>
        <w:rPr>
          <w:rFonts w:ascii="Times New Roman" w:eastAsia="Arial MT" w:hAnsi="Arial MT" w:cs="Arial MT"/>
          <w:sz w:val="20"/>
        </w:rPr>
      </w:pPr>
      <w:r w:rsidRPr="00E65A59">
        <w:rPr>
          <w:rFonts w:ascii="Arial MT" w:eastAsia="Arial MT" w:hAnsi="Arial MT" w:cs="Arial MT"/>
          <w:noProof/>
          <w:lang w:eastAsia="es-ES"/>
        </w:rPr>
        <w:drawing>
          <wp:inline distT="0" distB="0" distL="0" distR="0" wp14:anchorId="4A6DC0C1" wp14:editId="6F889862">
            <wp:extent cx="2343150" cy="1883876"/>
            <wp:effectExtent l="0" t="0" r="0" b="2540"/>
            <wp:docPr id="3" name="Imagen 3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401" cy="188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82E63" w14:textId="77777777" w:rsidR="00E65A59" w:rsidRPr="00E65A59" w:rsidRDefault="00E65A59" w:rsidP="00E65A59">
      <w:pPr>
        <w:widowControl w:val="0"/>
        <w:tabs>
          <w:tab w:val="left" w:pos="9072"/>
        </w:tabs>
        <w:autoSpaceDE w:val="0"/>
        <w:autoSpaceDN w:val="0"/>
        <w:spacing w:after="0" w:line="276" w:lineRule="auto"/>
        <w:rPr>
          <w:rFonts w:ascii="Times New Roman" w:eastAsia="Arial MT" w:hAnsi="Arial MT" w:cs="Arial MT"/>
          <w:sz w:val="20"/>
        </w:rPr>
      </w:pPr>
    </w:p>
    <w:p w14:paraId="3E084F07" w14:textId="77777777" w:rsidR="00E65A59" w:rsidRPr="00E65A59" w:rsidRDefault="00E65A59" w:rsidP="00E65A59">
      <w:pPr>
        <w:widowControl w:val="0"/>
        <w:tabs>
          <w:tab w:val="left" w:pos="9072"/>
        </w:tabs>
        <w:autoSpaceDE w:val="0"/>
        <w:autoSpaceDN w:val="0"/>
        <w:spacing w:after="0" w:line="276" w:lineRule="auto"/>
        <w:rPr>
          <w:rFonts w:ascii="Times New Roman" w:eastAsia="Arial MT" w:hAnsi="Arial MT" w:cs="Arial MT"/>
          <w:sz w:val="20"/>
        </w:rPr>
      </w:pPr>
    </w:p>
    <w:p w14:paraId="19A3FE84" w14:textId="77777777" w:rsidR="00E65A59" w:rsidRDefault="00E65A59" w:rsidP="00E65A59">
      <w:pPr>
        <w:jc w:val="both"/>
        <w:rPr>
          <w:rFonts w:ascii="Arial" w:eastAsia="Arial MT" w:hAnsi="Arial" w:cs="Arial"/>
          <w:b/>
          <w:bCs/>
          <w:sz w:val="32"/>
          <w:szCs w:val="32"/>
        </w:rPr>
      </w:pPr>
    </w:p>
    <w:p w14:paraId="7D971496" w14:textId="77777777" w:rsidR="00E65A59" w:rsidRDefault="00E65A59" w:rsidP="00E65A59">
      <w:pPr>
        <w:jc w:val="both"/>
        <w:rPr>
          <w:rFonts w:ascii="Arial" w:eastAsia="Arial MT" w:hAnsi="Arial" w:cs="Arial"/>
          <w:b/>
          <w:bCs/>
          <w:sz w:val="32"/>
          <w:szCs w:val="32"/>
        </w:rPr>
      </w:pPr>
    </w:p>
    <w:p w14:paraId="4E07D323" w14:textId="77777777" w:rsidR="00E65A59" w:rsidRDefault="00E65A59" w:rsidP="00E65A59">
      <w:pPr>
        <w:jc w:val="both"/>
        <w:rPr>
          <w:rFonts w:ascii="Arial" w:eastAsia="Arial MT" w:hAnsi="Arial" w:cs="Arial"/>
          <w:b/>
          <w:bCs/>
          <w:sz w:val="32"/>
          <w:szCs w:val="32"/>
        </w:rPr>
      </w:pPr>
    </w:p>
    <w:p w14:paraId="73392F0B" w14:textId="10BFDC28" w:rsidR="00E65A59" w:rsidRDefault="00E65A59" w:rsidP="00E65A59">
      <w:pPr>
        <w:jc w:val="both"/>
        <w:rPr>
          <w:rFonts w:ascii="Arial" w:eastAsia="Arial MT" w:hAnsi="Arial" w:cs="Arial"/>
          <w:b/>
          <w:bCs/>
          <w:sz w:val="32"/>
          <w:szCs w:val="32"/>
        </w:rPr>
      </w:pPr>
      <w:r w:rsidRPr="00E65A59">
        <w:rPr>
          <w:rFonts w:ascii="Arial" w:eastAsia="Arial MT" w:hAnsi="Arial" w:cs="Arial"/>
          <w:b/>
          <w:bCs/>
          <w:sz w:val="32"/>
          <w:szCs w:val="32"/>
        </w:rPr>
        <w:t xml:space="preserve">Consideraciones de CERMI a la consulta pública previa a la elaboración de un proyecto de modificación de la </w:t>
      </w:r>
      <w:r w:rsidR="00A35584">
        <w:rPr>
          <w:rFonts w:ascii="Arial" w:eastAsia="Arial MT" w:hAnsi="Arial" w:cs="Arial"/>
          <w:b/>
          <w:bCs/>
          <w:sz w:val="32"/>
          <w:szCs w:val="32"/>
        </w:rPr>
        <w:t>L</w:t>
      </w:r>
      <w:r w:rsidRPr="00E65A59">
        <w:rPr>
          <w:rFonts w:ascii="Arial" w:eastAsia="Arial MT" w:hAnsi="Arial" w:cs="Arial"/>
          <w:b/>
          <w:bCs/>
          <w:sz w:val="32"/>
          <w:szCs w:val="32"/>
        </w:rPr>
        <w:t xml:space="preserve">ey </w:t>
      </w:r>
      <w:r w:rsidR="00A35584">
        <w:rPr>
          <w:rFonts w:ascii="Arial" w:eastAsia="Arial MT" w:hAnsi="Arial" w:cs="Arial"/>
          <w:b/>
          <w:bCs/>
          <w:sz w:val="32"/>
          <w:szCs w:val="32"/>
        </w:rPr>
        <w:t>G</w:t>
      </w:r>
      <w:r w:rsidRPr="00E65A59">
        <w:rPr>
          <w:rFonts w:ascii="Arial" w:eastAsia="Arial MT" w:hAnsi="Arial" w:cs="Arial"/>
          <w:b/>
          <w:bCs/>
          <w:sz w:val="32"/>
          <w:szCs w:val="32"/>
        </w:rPr>
        <w:t>eneral de la Seguridad Social para la simplificación y mejor del nivel asistencial del desempleo</w:t>
      </w:r>
    </w:p>
    <w:p w14:paraId="5A05E97B" w14:textId="77777777" w:rsidR="00E65A59" w:rsidRDefault="00E65A59" w:rsidP="00E65A59">
      <w:pPr>
        <w:jc w:val="both"/>
        <w:rPr>
          <w:rFonts w:ascii="Arial" w:eastAsia="Arial MT" w:hAnsi="Arial" w:cs="Arial"/>
          <w:b/>
          <w:bCs/>
          <w:sz w:val="32"/>
          <w:szCs w:val="32"/>
        </w:rPr>
      </w:pPr>
    </w:p>
    <w:p w14:paraId="0CA2483E" w14:textId="42ACBBEC" w:rsidR="00E65A59" w:rsidRDefault="00E65A59" w:rsidP="00E65A59">
      <w:pPr>
        <w:jc w:val="center"/>
        <w:rPr>
          <w:rFonts w:ascii="Arial" w:eastAsia="Arial MT" w:hAnsi="Arial" w:cs="Arial"/>
          <w:b/>
          <w:bCs/>
          <w:sz w:val="24"/>
          <w:szCs w:val="28"/>
        </w:rPr>
      </w:pPr>
      <w:r>
        <w:rPr>
          <w:rFonts w:ascii="Arial" w:eastAsia="Arial MT" w:hAnsi="Arial" w:cs="Arial"/>
          <w:b/>
          <w:bCs/>
          <w:sz w:val="24"/>
          <w:szCs w:val="28"/>
        </w:rPr>
        <w:t xml:space="preserve">Octubre </w:t>
      </w:r>
      <w:r w:rsidRPr="00E65A59">
        <w:rPr>
          <w:rFonts w:ascii="Arial" w:eastAsia="Arial MT" w:hAnsi="Arial" w:cs="Arial"/>
          <w:b/>
          <w:bCs/>
          <w:sz w:val="24"/>
          <w:szCs w:val="28"/>
        </w:rPr>
        <w:t>de 2021</w:t>
      </w:r>
    </w:p>
    <w:p w14:paraId="77B21410" w14:textId="77777777" w:rsidR="00E65A59" w:rsidRDefault="00E65A59">
      <w:pPr>
        <w:rPr>
          <w:rFonts w:ascii="Arial" w:eastAsia="Arial MT" w:hAnsi="Arial" w:cs="Arial"/>
          <w:b/>
          <w:bCs/>
          <w:sz w:val="24"/>
          <w:szCs w:val="28"/>
        </w:rPr>
      </w:pPr>
      <w:r>
        <w:rPr>
          <w:rFonts w:ascii="Arial" w:eastAsia="Arial MT" w:hAnsi="Arial" w:cs="Arial"/>
          <w:b/>
          <w:bCs/>
          <w:sz w:val="24"/>
          <w:szCs w:val="28"/>
        </w:rPr>
        <w:br w:type="page"/>
      </w:r>
    </w:p>
    <w:p w14:paraId="01089E47" w14:textId="77777777" w:rsidR="00E65A59" w:rsidRDefault="00E65A59" w:rsidP="00E65A5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3E5F2AD" w14:textId="276CFA5A" w:rsidR="00963706" w:rsidRPr="00E65A59" w:rsidRDefault="00E65A59" w:rsidP="00963706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E65A59">
        <w:rPr>
          <w:rFonts w:ascii="Arial" w:hAnsi="Arial" w:cs="Arial"/>
          <w:b/>
          <w:bCs/>
          <w:sz w:val="28"/>
          <w:szCs w:val="28"/>
        </w:rPr>
        <w:t>CONSIDERACIONES GENERALES</w:t>
      </w:r>
    </w:p>
    <w:p w14:paraId="779B9EED" w14:textId="57E46C4E" w:rsidR="001B2CB9" w:rsidRDefault="0041170E" w:rsidP="002D5619">
      <w:pPr>
        <w:spacing w:before="240" w:after="24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1.- </w:t>
      </w:r>
      <w:r w:rsidR="0036368D">
        <w:rPr>
          <w:rFonts w:ascii="Arial" w:eastAsia="Times New Roman" w:hAnsi="Arial" w:cs="Arial"/>
          <w:sz w:val="24"/>
          <w:szCs w:val="24"/>
        </w:rPr>
        <w:t>Para valorar la oportunidad e idoneidad de esta Ley, es necesario tener en cuenta que l</w:t>
      </w:r>
      <w:r w:rsidR="001B2CB9">
        <w:rPr>
          <w:rFonts w:ascii="Arial" w:eastAsia="Times New Roman" w:hAnsi="Arial" w:cs="Arial"/>
          <w:sz w:val="24"/>
          <w:szCs w:val="24"/>
        </w:rPr>
        <w:t xml:space="preserve">a Comisión Europea, a petición del Consejo de Europa, está elaborando una propuesta de </w:t>
      </w:r>
      <w:r w:rsidR="00C16CC3">
        <w:rPr>
          <w:rFonts w:ascii="Arial" w:eastAsia="Times New Roman" w:hAnsi="Arial" w:cs="Arial"/>
          <w:sz w:val="24"/>
          <w:szCs w:val="24"/>
        </w:rPr>
        <w:t>recomendación</w:t>
      </w:r>
      <w:r w:rsidR="001B2CB9">
        <w:rPr>
          <w:rFonts w:ascii="Arial" w:eastAsia="Times New Roman" w:hAnsi="Arial" w:cs="Arial"/>
          <w:sz w:val="24"/>
          <w:szCs w:val="24"/>
        </w:rPr>
        <w:t xml:space="preserve"> sobre sistemas de ingresos mínimos </w:t>
      </w:r>
      <w:r w:rsidR="0036368D">
        <w:rPr>
          <w:rFonts w:ascii="Arial" w:eastAsia="Times New Roman" w:hAnsi="Arial" w:cs="Arial"/>
          <w:sz w:val="24"/>
          <w:szCs w:val="24"/>
        </w:rPr>
        <w:t>en</w:t>
      </w:r>
      <w:r w:rsidR="001B2CB9">
        <w:rPr>
          <w:rFonts w:ascii="Arial" w:eastAsia="Times New Roman" w:hAnsi="Arial" w:cs="Arial"/>
          <w:sz w:val="24"/>
          <w:szCs w:val="24"/>
        </w:rPr>
        <w:t xml:space="preserve"> la Unión Europea para establecer principios comunes sobre la adecuación, el acceso y la cobertura</w:t>
      </w:r>
      <w:r w:rsidR="0036368D">
        <w:rPr>
          <w:rFonts w:ascii="Arial" w:eastAsia="Times New Roman" w:hAnsi="Arial" w:cs="Arial"/>
          <w:sz w:val="24"/>
          <w:szCs w:val="24"/>
        </w:rPr>
        <w:t xml:space="preserve">, así como identificar </w:t>
      </w:r>
      <w:r w:rsidR="00C16CC3">
        <w:rPr>
          <w:rFonts w:ascii="Arial" w:eastAsia="Times New Roman" w:hAnsi="Arial" w:cs="Arial"/>
          <w:sz w:val="24"/>
          <w:szCs w:val="24"/>
        </w:rPr>
        <w:t xml:space="preserve">obstáculos para el aprovechamiento de las prestaciones </w:t>
      </w:r>
      <w:r w:rsidR="002D5619">
        <w:rPr>
          <w:rFonts w:ascii="Arial" w:eastAsia="Times New Roman" w:hAnsi="Arial" w:cs="Arial"/>
          <w:sz w:val="24"/>
          <w:szCs w:val="24"/>
        </w:rPr>
        <w:t xml:space="preserve">y </w:t>
      </w:r>
      <w:r w:rsidR="00C16CC3">
        <w:rPr>
          <w:rFonts w:ascii="Arial" w:eastAsia="Times New Roman" w:hAnsi="Arial" w:cs="Arial"/>
          <w:sz w:val="24"/>
          <w:szCs w:val="24"/>
        </w:rPr>
        <w:t>eliminarlos para garantizar un acceso eficaz.</w:t>
      </w:r>
    </w:p>
    <w:p w14:paraId="282CE043" w14:textId="77777777" w:rsidR="0036368D" w:rsidRDefault="0036368D" w:rsidP="002D5619">
      <w:pPr>
        <w:spacing w:before="240" w:after="24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Por otro lado, el Plan de R</w:t>
      </w:r>
      <w:r w:rsidR="00C16CC3">
        <w:rPr>
          <w:rFonts w:ascii="Arial" w:eastAsia="Times New Roman" w:hAnsi="Arial" w:cs="Arial"/>
          <w:sz w:val="24"/>
          <w:szCs w:val="24"/>
        </w:rPr>
        <w:t>ecupe</w:t>
      </w:r>
      <w:r>
        <w:rPr>
          <w:rFonts w:ascii="Arial" w:eastAsia="Times New Roman" w:hAnsi="Arial" w:cs="Arial"/>
          <w:sz w:val="24"/>
          <w:szCs w:val="24"/>
        </w:rPr>
        <w:t>ración, T</w:t>
      </w:r>
      <w:r w:rsidR="00C16CC3">
        <w:rPr>
          <w:rFonts w:ascii="Arial" w:eastAsia="Times New Roman" w:hAnsi="Arial" w:cs="Arial"/>
          <w:sz w:val="24"/>
          <w:szCs w:val="24"/>
        </w:rPr>
        <w:t xml:space="preserve">ransformación y </w:t>
      </w:r>
      <w:r>
        <w:rPr>
          <w:rFonts w:ascii="Arial" w:eastAsia="Times New Roman" w:hAnsi="Arial" w:cs="Arial"/>
          <w:sz w:val="24"/>
          <w:szCs w:val="24"/>
        </w:rPr>
        <w:t>R</w:t>
      </w:r>
      <w:r w:rsidR="00C16CC3">
        <w:rPr>
          <w:rFonts w:ascii="Arial" w:eastAsia="Times New Roman" w:hAnsi="Arial" w:cs="Arial"/>
          <w:sz w:val="24"/>
          <w:szCs w:val="24"/>
        </w:rPr>
        <w:t>esiliencia</w:t>
      </w:r>
      <w:r>
        <w:rPr>
          <w:rFonts w:ascii="Arial" w:eastAsia="Times New Roman" w:hAnsi="Arial" w:cs="Arial"/>
          <w:sz w:val="24"/>
          <w:szCs w:val="24"/>
        </w:rPr>
        <w:t xml:space="preserve"> prevé las siguientes actuaciones:</w:t>
      </w:r>
    </w:p>
    <w:p w14:paraId="5CA42F0C" w14:textId="2B6DA726" w:rsidR="0036368D" w:rsidRPr="002D5619" w:rsidRDefault="0036368D" w:rsidP="002D5619">
      <w:pPr>
        <w:pStyle w:val="Prrafodelista"/>
        <w:numPr>
          <w:ilvl w:val="0"/>
          <w:numId w:val="5"/>
        </w:numPr>
        <w:spacing w:before="240" w:after="24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D5619">
        <w:rPr>
          <w:rFonts w:ascii="Arial" w:eastAsia="Times New Roman" w:hAnsi="Arial" w:cs="Arial"/>
          <w:sz w:val="24"/>
          <w:szCs w:val="24"/>
        </w:rPr>
        <w:t>En el cuarto trimestre de 2022, el desarrollo reglamentario del incentivo al empleo vinculado al Ingreso Mínimo Vital (IMV)</w:t>
      </w:r>
      <w:r w:rsidR="00A35584">
        <w:rPr>
          <w:rFonts w:ascii="Arial" w:eastAsia="Times New Roman" w:hAnsi="Arial" w:cs="Arial"/>
          <w:sz w:val="24"/>
          <w:szCs w:val="24"/>
        </w:rPr>
        <w:t>.</w:t>
      </w:r>
    </w:p>
    <w:p w14:paraId="21ADCEDB" w14:textId="28B2349F" w:rsidR="0036368D" w:rsidRPr="002D5619" w:rsidRDefault="00A0092B" w:rsidP="002D5619">
      <w:pPr>
        <w:pStyle w:val="Prrafodelista"/>
        <w:numPr>
          <w:ilvl w:val="0"/>
          <w:numId w:val="5"/>
        </w:numPr>
        <w:spacing w:before="240" w:after="24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D5619">
        <w:rPr>
          <w:rFonts w:ascii="Arial" w:eastAsia="Times New Roman" w:hAnsi="Arial" w:cs="Arial"/>
          <w:sz w:val="24"/>
          <w:szCs w:val="24"/>
        </w:rPr>
        <w:t>En el tercer trimestre de 2023, la modificación normativa en el IMV de alguna de las prestaciones incluidas en el Plan para la reordenación y simplificación del sistema de prestaciones económicas no contributivas de la Administración General del Estado</w:t>
      </w:r>
      <w:r w:rsidR="00A35584">
        <w:rPr>
          <w:rFonts w:ascii="Arial" w:eastAsia="Times New Roman" w:hAnsi="Arial" w:cs="Arial"/>
          <w:sz w:val="24"/>
          <w:szCs w:val="24"/>
        </w:rPr>
        <w:t>.</w:t>
      </w:r>
    </w:p>
    <w:p w14:paraId="23E565D3" w14:textId="29C952A8" w:rsidR="00C16CC3" w:rsidRPr="002D5619" w:rsidRDefault="00A0092B" w:rsidP="002D5619">
      <w:pPr>
        <w:pStyle w:val="Prrafodelista"/>
        <w:numPr>
          <w:ilvl w:val="0"/>
          <w:numId w:val="5"/>
        </w:numPr>
        <w:spacing w:before="240" w:after="24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D5619">
        <w:rPr>
          <w:rFonts w:ascii="Arial" w:eastAsia="Times New Roman" w:hAnsi="Arial" w:cs="Arial"/>
          <w:sz w:val="24"/>
          <w:szCs w:val="24"/>
        </w:rPr>
        <w:t>Al</w:t>
      </w:r>
      <w:r w:rsidR="00C16CC3" w:rsidRPr="002D5619">
        <w:rPr>
          <w:rFonts w:ascii="Arial" w:eastAsia="Times New Roman" w:hAnsi="Arial" w:cs="Arial"/>
          <w:sz w:val="24"/>
          <w:szCs w:val="24"/>
        </w:rPr>
        <w:t xml:space="preserve"> principio del año 2024</w:t>
      </w:r>
      <w:r w:rsidRPr="002D5619">
        <w:rPr>
          <w:rFonts w:ascii="Arial" w:eastAsia="Times New Roman" w:hAnsi="Arial" w:cs="Arial"/>
          <w:sz w:val="24"/>
          <w:szCs w:val="24"/>
        </w:rPr>
        <w:t>, la publicación de</w:t>
      </w:r>
      <w:r w:rsidR="00C16CC3" w:rsidRPr="002D5619">
        <w:rPr>
          <w:rFonts w:ascii="Arial" w:eastAsia="Times New Roman" w:hAnsi="Arial" w:cs="Arial"/>
          <w:sz w:val="24"/>
          <w:szCs w:val="24"/>
        </w:rPr>
        <w:t xml:space="preserve"> una evaluación sobre la cobertura, efectividad y</w:t>
      </w:r>
      <w:r w:rsidR="0036368D" w:rsidRPr="002D5619">
        <w:rPr>
          <w:rFonts w:ascii="Arial" w:eastAsia="Times New Roman" w:hAnsi="Arial" w:cs="Arial"/>
          <w:sz w:val="24"/>
          <w:szCs w:val="24"/>
        </w:rPr>
        <w:t xml:space="preserve"> éxito del Ingreso Mínimo Vital.</w:t>
      </w:r>
    </w:p>
    <w:p w14:paraId="32802752" w14:textId="2CBDFF23" w:rsidR="009F75B1" w:rsidRPr="00455D32" w:rsidRDefault="001B2CB9" w:rsidP="002D5619">
      <w:pPr>
        <w:spacing w:before="240" w:after="240" w:line="276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2.- </w:t>
      </w:r>
      <w:r w:rsidR="00455D32">
        <w:rPr>
          <w:rFonts w:ascii="Arial" w:eastAsia="Times New Roman" w:hAnsi="Arial" w:cs="Arial"/>
          <w:sz w:val="24"/>
          <w:szCs w:val="24"/>
        </w:rPr>
        <w:t>Ante el anuncio de</w:t>
      </w:r>
      <w:r w:rsidR="00A35584">
        <w:rPr>
          <w:rFonts w:ascii="Arial" w:eastAsia="Times New Roman" w:hAnsi="Arial" w:cs="Arial"/>
          <w:sz w:val="24"/>
          <w:szCs w:val="24"/>
        </w:rPr>
        <w:t>l SEPE</w:t>
      </w:r>
      <w:r w:rsidR="00455D32">
        <w:rPr>
          <w:rFonts w:ascii="Arial" w:eastAsia="Times New Roman" w:hAnsi="Arial" w:cs="Arial"/>
          <w:sz w:val="24"/>
          <w:szCs w:val="24"/>
        </w:rPr>
        <w:t xml:space="preserve"> </w:t>
      </w:r>
      <w:r w:rsidR="00A35584">
        <w:rPr>
          <w:rFonts w:ascii="Arial" w:eastAsia="Times New Roman" w:hAnsi="Arial" w:cs="Arial"/>
          <w:sz w:val="24"/>
          <w:szCs w:val="24"/>
        </w:rPr>
        <w:t xml:space="preserve">de acometer </w:t>
      </w:r>
      <w:r w:rsidR="00455D32">
        <w:rPr>
          <w:rFonts w:ascii="Arial" w:eastAsia="Times New Roman" w:hAnsi="Arial" w:cs="Arial"/>
          <w:sz w:val="24"/>
          <w:szCs w:val="24"/>
        </w:rPr>
        <w:t>la elaboración</w:t>
      </w:r>
      <w:r w:rsidR="00A35584">
        <w:rPr>
          <w:rFonts w:ascii="Arial" w:eastAsia="Times New Roman" w:hAnsi="Arial" w:cs="Arial"/>
          <w:sz w:val="24"/>
          <w:szCs w:val="24"/>
        </w:rPr>
        <w:t>, ya iniciada,</w:t>
      </w:r>
      <w:r w:rsidR="00455D32">
        <w:rPr>
          <w:rFonts w:ascii="Arial" w:eastAsia="Times New Roman" w:hAnsi="Arial" w:cs="Arial"/>
          <w:sz w:val="24"/>
          <w:szCs w:val="24"/>
        </w:rPr>
        <w:t xml:space="preserve"> de un Libro Blanco del Empleo de las Personas con Discapacidad, que necesariamente tendrá que contener un análisis riguroso y exhaustivo de la realidad del empleo de las personas con discapacidad, sería inadecuado abordar en este momento modificaciones legislativas que afectan directamente a las personas con discapacidad</w:t>
      </w:r>
      <w:r w:rsidR="00A35584">
        <w:rPr>
          <w:rFonts w:ascii="Arial" w:eastAsia="Times New Roman" w:hAnsi="Arial" w:cs="Arial"/>
          <w:sz w:val="24"/>
          <w:szCs w:val="24"/>
        </w:rPr>
        <w:t>,</w:t>
      </w:r>
      <w:r w:rsidR="00455D32">
        <w:rPr>
          <w:rFonts w:ascii="Arial" w:eastAsia="Times New Roman" w:hAnsi="Arial" w:cs="Arial"/>
          <w:sz w:val="24"/>
          <w:szCs w:val="24"/>
        </w:rPr>
        <w:t xml:space="preserve"> sin estar </w:t>
      </w:r>
      <w:r w:rsidR="00455D32" w:rsidRPr="00455D32">
        <w:rPr>
          <w:rFonts w:ascii="Arial" w:eastAsia="Times New Roman" w:hAnsi="Arial" w:cs="Arial"/>
          <w:sz w:val="24"/>
          <w:szCs w:val="24"/>
        </w:rPr>
        <w:t xml:space="preserve">concluidos los trabajos de dicho Libro Blanco. </w:t>
      </w:r>
    </w:p>
    <w:p w14:paraId="081F27FA" w14:textId="241375A1" w:rsidR="00410EF8" w:rsidRPr="00E65A59" w:rsidRDefault="00E65A59" w:rsidP="002D5619">
      <w:pPr>
        <w:spacing w:before="240" w:after="24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65A59">
        <w:rPr>
          <w:rFonts w:ascii="Arial" w:hAnsi="Arial" w:cs="Arial"/>
          <w:b/>
          <w:bCs/>
          <w:sz w:val="24"/>
          <w:szCs w:val="24"/>
        </w:rPr>
        <w:t>CONSIDERACIONES A TENER EN CUENTA EN LA ELABORACIÓN DEL PROYECTO DE LEY</w:t>
      </w:r>
    </w:p>
    <w:p w14:paraId="2E4D652F" w14:textId="017B28F0" w:rsidR="00D32738" w:rsidRDefault="00497662" w:rsidP="002D5619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</w:t>
      </w:r>
      <w:r w:rsidR="00E321D7">
        <w:rPr>
          <w:rFonts w:ascii="Arial" w:hAnsi="Arial" w:cs="Arial"/>
          <w:sz w:val="24"/>
          <w:szCs w:val="24"/>
        </w:rPr>
        <w:t xml:space="preserve">La simplificación del sistema actual debe garantizar que las personas con discapacidad puedan ejercer y defender sus derechos de accesibilidad digital, así como también que se creen condiciones de igualdad entre los actores en una economía de mercado. En este sentido, </w:t>
      </w:r>
      <w:r w:rsidR="00B672BF">
        <w:rPr>
          <w:rFonts w:ascii="Arial" w:hAnsi="Arial" w:cs="Arial"/>
          <w:sz w:val="24"/>
          <w:szCs w:val="24"/>
        </w:rPr>
        <w:t>a pesar de que</w:t>
      </w:r>
      <w:r w:rsidR="00E321D7">
        <w:rPr>
          <w:rFonts w:ascii="Arial" w:hAnsi="Arial" w:cs="Arial"/>
          <w:sz w:val="24"/>
          <w:szCs w:val="24"/>
        </w:rPr>
        <w:t xml:space="preserve"> la legislación sectorial recoge la obligación que las páginas webs y aplicaciones del sector público deberían ser accesibles, es aún una tarea pendiente de la administración española</w:t>
      </w:r>
      <w:r w:rsidR="008064A9">
        <w:rPr>
          <w:rFonts w:ascii="Arial" w:hAnsi="Arial" w:cs="Arial"/>
          <w:sz w:val="24"/>
          <w:szCs w:val="24"/>
        </w:rPr>
        <w:t xml:space="preserve">. Dado que se trata de un aspecto que en pocas ocasiones se tiene en consideración, se deberían incluir referencias explícitas para garantizar la accesibilidad </w:t>
      </w:r>
      <w:r w:rsidR="00FC38A6">
        <w:rPr>
          <w:rFonts w:ascii="Arial" w:hAnsi="Arial" w:cs="Arial"/>
          <w:sz w:val="24"/>
          <w:szCs w:val="24"/>
        </w:rPr>
        <w:t xml:space="preserve">(en su sentido más amplio) </w:t>
      </w:r>
      <w:r w:rsidR="007E61CD">
        <w:rPr>
          <w:rFonts w:ascii="Arial" w:hAnsi="Arial" w:cs="Arial"/>
          <w:sz w:val="24"/>
          <w:szCs w:val="24"/>
        </w:rPr>
        <w:t>d</w:t>
      </w:r>
      <w:r w:rsidR="008064A9">
        <w:rPr>
          <w:rFonts w:ascii="Arial" w:hAnsi="Arial" w:cs="Arial"/>
          <w:sz w:val="24"/>
          <w:szCs w:val="24"/>
        </w:rPr>
        <w:t>el trámite en todas sus fases.</w:t>
      </w:r>
    </w:p>
    <w:p w14:paraId="6A2F7ADD" w14:textId="01A48E82" w:rsidR="00A8068B" w:rsidRDefault="00497662" w:rsidP="002D5619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</w:t>
      </w:r>
      <w:r w:rsidR="0049182A">
        <w:rPr>
          <w:rFonts w:ascii="Arial" w:hAnsi="Arial" w:cs="Arial"/>
          <w:sz w:val="24"/>
          <w:szCs w:val="24"/>
        </w:rPr>
        <w:t>La vinculación de</w:t>
      </w:r>
      <w:r w:rsidR="00743AE6">
        <w:rPr>
          <w:rFonts w:ascii="Arial" w:hAnsi="Arial" w:cs="Arial"/>
          <w:sz w:val="24"/>
          <w:szCs w:val="24"/>
        </w:rPr>
        <w:t xml:space="preserve"> </w:t>
      </w:r>
      <w:r w:rsidR="0049182A">
        <w:rPr>
          <w:rFonts w:ascii="Arial" w:hAnsi="Arial" w:cs="Arial"/>
          <w:sz w:val="24"/>
          <w:szCs w:val="24"/>
        </w:rPr>
        <w:t>l</w:t>
      </w:r>
      <w:r w:rsidR="00743AE6">
        <w:rPr>
          <w:rFonts w:ascii="Arial" w:hAnsi="Arial" w:cs="Arial"/>
          <w:sz w:val="24"/>
          <w:szCs w:val="24"/>
        </w:rPr>
        <w:t>a</w:t>
      </w:r>
      <w:r w:rsidR="0049182A">
        <w:rPr>
          <w:rFonts w:ascii="Arial" w:hAnsi="Arial" w:cs="Arial"/>
          <w:sz w:val="24"/>
          <w:szCs w:val="24"/>
        </w:rPr>
        <w:t xml:space="preserve"> </w:t>
      </w:r>
      <w:r w:rsidR="00743AE6">
        <w:rPr>
          <w:rFonts w:ascii="Arial" w:hAnsi="Arial" w:cs="Arial"/>
          <w:sz w:val="24"/>
          <w:szCs w:val="24"/>
        </w:rPr>
        <w:t>prestación</w:t>
      </w:r>
      <w:r w:rsidR="0049182A">
        <w:rPr>
          <w:rFonts w:ascii="Arial" w:hAnsi="Arial" w:cs="Arial"/>
          <w:sz w:val="24"/>
          <w:szCs w:val="24"/>
        </w:rPr>
        <w:t xml:space="preserve"> asistencial por desempleo </w:t>
      </w:r>
      <w:r w:rsidR="00D4221C">
        <w:rPr>
          <w:rFonts w:ascii="Arial" w:hAnsi="Arial" w:cs="Arial"/>
          <w:sz w:val="24"/>
          <w:szCs w:val="24"/>
        </w:rPr>
        <w:t xml:space="preserve">al compromiso de seguimiento y realización de un Itinerario Personalizado de Empleo debería </w:t>
      </w:r>
      <w:r w:rsidR="00D4221C">
        <w:rPr>
          <w:rFonts w:ascii="Arial" w:hAnsi="Arial" w:cs="Arial"/>
          <w:sz w:val="24"/>
          <w:szCs w:val="24"/>
        </w:rPr>
        <w:lastRenderedPageBreak/>
        <w:t>incorporar salvedades y/o excepciones</w:t>
      </w:r>
      <w:r w:rsidR="00743AE6">
        <w:rPr>
          <w:rFonts w:ascii="Arial" w:hAnsi="Arial" w:cs="Arial"/>
          <w:sz w:val="24"/>
          <w:szCs w:val="24"/>
        </w:rPr>
        <w:t xml:space="preserve"> </w:t>
      </w:r>
      <w:r w:rsidR="00D4221C">
        <w:rPr>
          <w:rFonts w:ascii="Arial" w:hAnsi="Arial" w:cs="Arial"/>
          <w:sz w:val="24"/>
          <w:szCs w:val="24"/>
        </w:rPr>
        <w:t xml:space="preserve">para aquellas personas con dificultades para el desarrollo de las Actividades de la Vida Diaria (AVD) y las que tienen a su cargo menores, personas con discapacidad y/o personas en situación de dependencia. </w:t>
      </w:r>
      <w:r w:rsidR="00743AE6">
        <w:rPr>
          <w:rFonts w:ascii="Arial" w:hAnsi="Arial" w:cs="Arial"/>
          <w:sz w:val="24"/>
          <w:szCs w:val="24"/>
        </w:rPr>
        <w:t xml:space="preserve">Esta medida no debería implicar, en ningún caso, que el importe de la prestación fuera inferior que para el resto de </w:t>
      </w:r>
      <w:r w:rsidR="00B672BF">
        <w:rPr>
          <w:rFonts w:ascii="Arial" w:hAnsi="Arial" w:cs="Arial"/>
          <w:sz w:val="24"/>
          <w:szCs w:val="24"/>
        </w:rPr>
        <w:t>los beneficiarios</w:t>
      </w:r>
      <w:r w:rsidR="00743AE6">
        <w:rPr>
          <w:rFonts w:ascii="Arial" w:hAnsi="Arial" w:cs="Arial"/>
          <w:sz w:val="24"/>
          <w:szCs w:val="24"/>
        </w:rPr>
        <w:t>.</w:t>
      </w:r>
    </w:p>
    <w:p w14:paraId="20FBBB0A" w14:textId="70023428" w:rsidR="00B672BF" w:rsidRDefault="00B672BF" w:rsidP="002D5619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B672BF">
        <w:rPr>
          <w:rFonts w:ascii="Arial" w:hAnsi="Arial" w:cs="Arial"/>
          <w:sz w:val="24"/>
          <w:szCs w:val="24"/>
        </w:rPr>
        <w:t xml:space="preserve">simismo, los itinerarios deben estar provistos de todos aquellos recursos que den respuesta a las necesidades de apoyo específicas de las personas, con especial atención al </w:t>
      </w:r>
      <w:r w:rsidR="00A35584">
        <w:rPr>
          <w:rFonts w:ascii="Arial" w:hAnsi="Arial" w:cs="Arial"/>
          <w:sz w:val="24"/>
          <w:szCs w:val="24"/>
        </w:rPr>
        <w:t>sector social</w:t>
      </w:r>
      <w:r w:rsidRPr="00B672BF">
        <w:rPr>
          <w:rFonts w:ascii="Arial" w:hAnsi="Arial" w:cs="Arial"/>
          <w:sz w:val="24"/>
          <w:szCs w:val="24"/>
        </w:rPr>
        <w:t xml:space="preserve"> de </w:t>
      </w:r>
      <w:r w:rsidR="00A35584">
        <w:rPr>
          <w:rFonts w:ascii="Arial" w:hAnsi="Arial" w:cs="Arial"/>
          <w:sz w:val="24"/>
          <w:szCs w:val="24"/>
        </w:rPr>
        <w:t xml:space="preserve">las </w:t>
      </w:r>
      <w:r w:rsidRPr="00B672BF">
        <w:rPr>
          <w:rFonts w:ascii="Arial" w:hAnsi="Arial" w:cs="Arial"/>
          <w:sz w:val="24"/>
          <w:szCs w:val="24"/>
        </w:rPr>
        <w:t>personas con discapacidad y a sus necesidades concretas al tratarse de itinerarios individualizados.</w:t>
      </w:r>
    </w:p>
    <w:p w14:paraId="3A89525E" w14:textId="77777777" w:rsidR="00683833" w:rsidRDefault="00A100DD" w:rsidP="002D5619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otro lado,</w:t>
      </w:r>
      <w:r w:rsidR="00004A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004A8F">
        <w:rPr>
          <w:rFonts w:ascii="Arial" w:hAnsi="Arial" w:cs="Arial"/>
          <w:sz w:val="24"/>
          <w:szCs w:val="24"/>
        </w:rPr>
        <w:t>a escasa oferta</w:t>
      </w:r>
      <w:r>
        <w:rPr>
          <w:rFonts w:ascii="Arial" w:hAnsi="Arial" w:cs="Arial"/>
          <w:sz w:val="24"/>
          <w:szCs w:val="24"/>
        </w:rPr>
        <w:t xml:space="preserve"> de programas de formación</w:t>
      </w:r>
      <w:r w:rsidR="00004A8F">
        <w:rPr>
          <w:rFonts w:ascii="Arial" w:hAnsi="Arial" w:cs="Arial"/>
          <w:sz w:val="24"/>
          <w:szCs w:val="24"/>
        </w:rPr>
        <w:t xml:space="preserve"> accesible</w:t>
      </w:r>
      <w:r>
        <w:rPr>
          <w:rFonts w:ascii="Arial" w:hAnsi="Arial" w:cs="Arial"/>
          <w:sz w:val="24"/>
          <w:szCs w:val="24"/>
        </w:rPr>
        <w:t>s</w:t>
      </w:r>
      <w:r w:rsidR="00004A8F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adaptados a las características de las personas con discapacidad, tanto de carácter transversal como sectorial, dificulta que se puedan acomodar los Itinerarios Personalizados de Empleo a las expectativas y situaciones personales y profesionales de sus destinatarios y, por tanto, favorecer la formación a lo largo de toda la vida.</w:t>
      </w:r>
    </w:p>
    <w:p w14:paraId="4129B112" w14:textId="77777777" w:rsidR="00A100DD" w:rsidRDefault="00FA2015" w:rsidP="002D5619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100DD">
        <w:rPr>
          <w:rFonts w:ascii="Arial" w:hAnsi="Arial" w:cs="Arial"/>
          <w:sz w:val="24"/>
          <w:szCs w:val="24"/>
        </w:rPr>
        <w:t xml:space="preserve">ambién son notables los obstáculos </w:t>
      </w:r>
      <w:r>
        <w:rPr>
          <w:rFonts w:ascii="Arial" w:hAnsi="Arial" w:cs="Arial"/>
          <w:sz w:val="24"/>
          <w:szCs w:val="24"/>
        </w:rPr>
        <w:t xml:space="preserve">para adecuar el entorno laboral a las características de las personas con discapacidad, teniendo en cuenta sus habilidades, competencias y aptitudes. </w:t>
      </w:r>
      <w:r w:rsidR="00A100DD">
        <w:rPr>
          <w:rFonts w:ascii="Arial" w:hAnsi="Arial" w:cs="Arial"/>
          <w:sz w:val="24"/>
          <w:szCs w:val="24"/>
        </w:rPr>
        <w:t xml:space="preserve"> </w:t>
      </w:r>
    </w:p>
    <w:p w14:paraId="777ADFF8" w14:textId="77777777" w:rsidR="00F03379" w:rsidRDefault="00A100DD" w:rsidP="002D5619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03379">
        <w:rPr>
          <w:rFonts w:ascii="Arial" w:hAnsi="Arial" w:cs="Arial"/>
          <w:sz w:val="24"/>
          <w:szCs w:val="24"/>
        </w:rPr>
        <w:t xml:space="preserve">.- </w:t>
      </w:r>
      <w:r w:rsidR="00743AE6">
        <w:rPr>
          <w:rFonts w:ascii="Arial" w:hAnsi="Arial" w:cs="Arial"/>
          <w:sz w:val="24"/>
          <w:szCs w:val="24"/>
        </w:rPr>
        <w:t xml:space="preserve">En el caso de las personas con discapacidad, </w:t>
      </w:r>
      <w:r w:rsidR="003338AF">
        <w:rPr>
          <w:rFonts w:ascii="Arial" w:hAnsi="Arial" w:cs="Arial"/>
          <w:sz w:val="24"/>
          <w:szCs w:val="24"/>
        </w:rPr>
        <w:t>la cuantía establecida para el conjunto de los beneficiarios de la prestación asistencial por desempleo debería suplementarse con un complemento</w:t>
      </w:r>
      <w:r w:rsidR="00D97649">
        <w:rPr>
          <w:rFonts w:ascii="Arial" w:hAnsi="Arial" w:cs="Arial"/>
          <w:sz w:val="24"/>
          <w:szCs w:val="24"/>
        </w:rPr>
        <w:t xml:space="preserve"> </w:t>
      </w:r>
      <w:r w:rsidR="003D4FE1">
        <w:rPr>
          <w:rFonts w:ascii="Arial" w:hAnsi="Arial" w:cs="Arial"/>
          <w:sz w:val="24"/>
          <w:szCs w:val="24"/>
        </w:rPr>
        <w:t>destinado</w:t>
      </w:r>
      <w:r w:rsidR="00D97649">
        <w:rPr>
          <w:rFonts w:ascii="Arial" w:hAnsi="Arial" w:cs="Arial"/>
          <w:sz w:val="24"/>
          <w:szCs w:val="24"/>
        </w:rPr>
        <w:t xml:space="preserve"> a compensar y paliar el agravio económico a que hace frente este grupo social por motivos asociados a su discapacidad. Ello conllevaría un salto cualitativo en las políticas que afectan a los ingresos y los gastos de las personas con discapacidad y les permitiría una mejora sustancial en las opciones individuales para desarrollar proyectos de vida.</w:t>
      </w:r>
    </w:p>
    <w:p w14:paraId="3FEF2488" w14:textId="25076415" w:rsidR="00D97649" w:rsidRDefault="00D97649" w:rsidP="002D5619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Asimismo, se trataría de una forma de articular de manera eficiente y eficaz los recursos disponibles, evitando políticas de homogeneización de prestaciones destinadas a un </w:t>
      </w:r>
      <w:r w:rsidR="00A35584">
        <w:rPr>
          <w:rFonts w:ascii="Arial" w:hAnsi="Arial" w:cs="Arial"/>
          <w:sz w:val="24"/>
          <w:szCs w:val="24"/>
        </w:rPr>
        <w:t>segmento de población</w:t>
      </w:r>
      <w:r>
        <w:rPr>
          <w:rFonts w:ascii="Arial" w:hAnsi="Arial" w:cs="Arial"/>
          <w:sz w:val="24"/>
          <w:szCs w:val="24"/>
        </w:rPr>
        <w:t xml:space="preserve"> claramente heterogéneo.</w:t>
      </w:r>
    </w:p>
    <w:p w14:paraId="54593D90" w14:textId="38E8CF14" w:rsidR="00924D14" w:rsidRDefault="00924D14" w:rsidP="002D5619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4.- </w:t>
      </w:r>
      <w:r w:rsidR="001821A0">
        <w:rPr>
          <w:rFonts w:ascii="Arial" w:hAnsi="Arial" w:cs="Arial"/>
          <w:sz w:val="24"/>
          <w:szCs w:val="24"/>
        </w:rPr>
        <w:t xml:space="preserve">Las organizaciones que representan a las personas con discapacidad </w:t>
      </w:r>
      <w:r w:rsidR="00A35584">
        <w:rPr>
          <w:rFonts w:ascii="Arial" w:hAnsi="Arial" w:cs="Arial"/>
          <w:sz w:val="24"/>
          <w:szCs w:val="24"/>
        </w:rPr>
        <w:t xml:space="preserve">y sus familias </w:t>
      </w:r>
      <w:r w:rsidR="001821A0">
        <w:rPr>
          <w:rFonts w:ascii="Arial" w:hAnsi="Arial" w:cs="Arial"/>
          <w:sz w:val="24"/>
          <w:szCs w:val="24"/>
        </w:rPr>
        <w:t>deberían participar activamente en los mecanismos de coordinación que se establezcan entre los servicios de empleo y los servicios sociales teniendo en cuenta su trayectoria, su exp</w:t>
      </w:r>
      <w:r>
        <w:rPr>
          <w:rFonts w:ascii="Arial" w:hAnsi="Arial" w:cs="Arial"/>
          <w:sz w:val="24"/>
          <w:szCs w:val="24"/>
        </w:rPr>
        <w:t xml:space="preserve">eriencia </w:t>
      </w:r>
      <w:r w:rsidR="00205C95">
        <w:rPr>
          <w:rFonts w:ascii="Arial" w:hAnsi="Arial" w:cs="Arial"/>
          <w:sz w:val="24"/>
          <w:szCs w:val="24"/>
        </w:rPr>
        <w:t>en la prestación de servicios sociales como en la inserción laboral de</w:t>
      </w:r>
      <w:r w:rsidR="00A35584">
        <w:rPr>
          <w:rFonts w:ascii="Arial" w:hAnsi="Arial" w:cs="Arial"/>
          <w:sz w:val="24"/>
          <w:szCs w:val="24"/>
        </w:rPr>
        <w:t xml:space="preserve"> este grupo poblacional</w:t>
      </w:r>
      <w:r w:rsidR="001821A0">
        <w:rPr>
          <w:rFonts w:ascii="Arial" w:hAnsi="Arial" w:cs="Arial"/>
          <w:sz w:val="24"/>
          <w:szCs w:val="24"/>
        </w:rPr>
        <w:t>, y por la evidencia que se</w:t>
      </w:r>
      <w:r w:rsidR="0036368D">
        <w:rPr>
          <w:rFonts w:ascii="Arial" w:hAnsi="Arial" w:cs="Arial"/>
          <w:sz w:val="24"/>
          <w:szCs w:val="24"/>
        </w:rPr>
        <w:t xml:space="preserve"> requiere un trabajo proactivo con los potenciales beneficiarios.</w:t>
      </w:r>
    </w:p>
    <w:p w14:paraId="7E9B9413" w14:textId="34B16670" w:rsidR="001821A0" w:rsidRDefault="00A0092B" w:rsidP="002D5619">
      <w:pPr>
        <w:spacing w:before="240" w:after="240" w:line="276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5</w:t>
      </w:r>
      <w:r w:rsidRPr="00455D32">
        <w:rPr>
          <w:rFonts w:ascii="Arial" w:eastAsiaTheme="minorEastAsia" w:hAnsi="Arial" w:cs="Arial"/>
          <w:sz w:val="24"/>
          <w:szCs w:val="24"/>
        </w:rPr>
        <w:t xml:space="preserve">.- </w:t>
      </w:r>
      <w:r>
        <w:rPr>
          <w:rFonts w:ascii="Arial" w:eastAsiaTheme="minorEastAsia" w:hAnsi="Arial" w:cs="Arial"/>
          <w:sz w:val="24"/>
          <w:szCs w:val="24"/>
        </w:rPr>
        <w:t xml:space="preserve">Aunque no exista solapamiento en la protección de los </w:t>
      </w:r>
      <w:r w:rsidR="00A35584">
        <w:rPr>
          <w:rFonts w:ascii="Arial" w:eastAsiaTheme="minorEastAsia" w:hAnsi="Arial" w:cs="Arial"/>
          <w:sz w:val="24"/>
          <w:szCs w:val="24"/>
        </w:rPr>
        <w:t xml:space="preserve">grupos sociales </w:t>
      </w:r>
      <w:r>
        <w:rPr>
          <w:rFonts w:ascii="Arial" w:eastAsiaTheme="minorEastAsia" w:hAnsi="Arial" w:cs="Arial"/>
          <w:sz w:val="24"/>
          <w:szCs w:val="24"/>
        </w:rPr>
        <w:t xml:space="preserve">y situaciones que se pretende regular por parte de diferentes niveles </w:t>
      </w:r>
      <w:r>
        <w:rPr>
          <w:rFonts w:ascii="Arial" w:eastAsiaTheme="minorEastAsia" w:hAnsi="Arial" w:cs="Arial"/>
          <w:sz w:val="24"/>
          <w:szCs w:val="24"/>
        </w:rPr>
        <w:lastRenderedPageBreak/>
        <w:t xml:space="preserve">administrativos, sería conveniente establecer mecanismos de coordinación entre </w:t>
      </w:r>
      <w:r w:rsidR="00A35584">
        <w:rPr>
          <w:rFonts w:ascii="Arial" w:eastAsiaTheme="minorEastAsia" w:hAnsi="Arial" w:cs="Arial"/>
          <w:sz w:val="24"/>
          <w:szCs w:val="24"/>
        </w:rPr>
        <w:t>e</w:t>
      </w:r>
      <w:r>
        <w:rPr>
          <w:rFonts w:ascii="Arial" w:eastAsiaTheme="minorEastAsia" w:hAnsi="Arial" w:cs="Arial"/>
          <w:sz w:val="24"/>
          <w:szCs w:val="24"/>
        </w:rPr>
        <w:t xml:space="preserve">stos. </w:t>
      </w:r>
    </w:p>
    <w:p w14:paraId="318CAA25" w14:textId="5E40B793" w:rsidR="00A0092B" w:rsidRDefault="00A0092B" w:rsidP="002D5619">
      <w:pPr>
        <w:spacing w:before="240" w:after="240" w:line="276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También deberían preverse pasarelas de acceso a las rentas mínimas al término de la prestación asistencial por desempleo para evitar situaciones de desamparo.</w:t>
      </w:r>
    </w:p>
    <w:p w14:paraId="7C68100D" w14:textId="0B90E59B" w:rsidR="00A0092B" w:rsidRPr="00A35584" w:rsidRDefault="003620F3" w:rsidP="002D5619">
      <w:pPr>
        <w:spacing w:before="240" w:after="240" w:line="276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6</w:t>
      </w:r>
      <w:r w:rsidR="00A35584">
        <w:rPr>
          <w:rFonts w:ascii="Arial" w:eastAsiaTheme="minorEastAsia" w:hAnsi="Arial" w:cs="Arial"/>
          <w:sz w:val="24"/>
          <w:szCs w:val="24"/>
        </w:rPr>
        <w:t>.- La situación de discapacidad de la persona perceptora de las eventuales prestaciones públicas que se establezcan por desempleo en su nivel no contributivo o asistencial, o de la unida</w:t>
      </w:r>
      <w:r>
        <w:rPr>
          <w:rFonts w:ascii="Arial" w:eastAsiaTheme="minorEastAsia" w:hAnsi="Arial" w:cs="Arial"/>
          <w:sz w:val="24"/>
          <w:szCs w:val="24"/>
        </w:rPr>
        <w:t>d</w:t>
      </w:r>
      <w:r w:rsidR="00A35584">
        <w:rPr>
          <w:rFonts w:ascii="Arial" w:eastAsiaTheme="minorEastAsia" w:hAnsi="Arial" w:cs="Arial"/>
          <w:sz w:val="24"/>
          <w:szCs w:val="24"/>
        </w:rPr>
        <w:t xml:space="preserve"> familiar o de convivencia en que esa concurrencia de una discapacidad se produzca, ha de ser tenida en cuenta como factor cualificado, para incrementar, hasta el máximo, la intensidad de la ayuda económica y/o social, habida cuenta de que la discapacidad es un elemento objetivo de exclusión exacerbada.   </w:t>
      </w:r>
    </w:p>
    <w:p w14:paraId="4829CF06" w14:textId="3062622D" w:rsidR="00A35584" w:rsidRPr="00A35584" w:rsidRDefault="00A35584" w:rsidP="00A35584">
      <w:pPr>
        <w:spacing w:before="240" w:after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35584">
        <w:rPr>
          <w:rFonts w:ascii="Arial" w:hAnsi="Arial" w:cs="Arial"/>
          <w:b/>
          <w:bCs/>
          <w:sz w:val="24"/>
          <w:szCs w:val="24"/>
        </w:rPr>
        <w:t>CERMI</w:t>
      </w:r>
    </w:p>
    <w:p w14:paraId="495D2274" w14:textId="49A11097" w:rsidR="00A35584" w:rsidRPr="00A35584" w:rsidRDefault="00613778" w:rsidP="00A35584">
      <w:pPr>
        <w:spacing w:before="240" w:after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hyperlink r:id="rId9" w:history="1">
        <w:r w:rsidR="00A35584" w:rsidRPr="00A35584">
          <w:rPr>
            <w:rStyle w:val="Hipervnculo"/>
            <w:rFonts w:ascii="Arial" w:hAnsi="Arial" w:cs="Arial"/>
            <w:b/>
            <w:bCs/>
            <w:sz w:val="24"/>
            <w:szCs w:val="24"/>
          </w:rPr>
          <w:t>www.cermi.es</w:t>
        </w:r>
      </w:hyperlink>
    </w:p>
    <w:p w14:paraId="3836655D" w14:textId="77777777" w:rsidR="00A35584" w:rsidRDefault="00A35584" w:rsidP="002D5619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</w:p>
    <w:sectPr w:rsidR="00A35584" w:rsidSect="002232ED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7DAB8" w14:textId="77777777" w:rsidR="00613778" w:rsidRDefault="00613778" w:rsidP="00963706">
      <w:pPr>
        <w:spacing w:after="0" w:line="240" w:lineRule="auto"/>
      </w:pPr>
      <w:r>
        <w:separator/>
      </w:r>
    </w:p>
  </w:endnote>
  <w:endnote w:type="continuationSeparator" w:id="0">
    <w:p w14:paraId="4EB84FF8" w14:textId="77777777" w:rsidR="00613778" w:rsidRDefault="00613778" w:rsidP="0096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84436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A21E65" w14:textId="27851C31" w:rsidR="00E65A59" w:rsidRDefault="00E65A59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56B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56B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930C7B" w14:textId="77777777" w:rsidR="00E65A59" w:rsidRDefault="00E65A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27062" w14:textId="77777777" w:rsidR="00613778" w:rsidRDefault="00613778" w:rsidP="00963706">
      <w:pPr>
        <w:spacing w:after="0" w:line="240" w:lineRule="auto"/>
      </w:pPr>
      <w:r>
        <w:separator/>
      </w:r>
    </w:p>
  </w:footnote>
  <w:footnote w:type="continuationSeparator" w:id="0">
    <w:p w14:paraId="49CE90AE" w14:textId="77777777" w:rsidR="00613778" w:rsidRDefault="00613778" w:rsidP="00963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AA789" w14:textId="26DCA70D" w:rsidR="00884E70" w:rsidRDefault="00884E7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9AA2B" w14:textId="7A01760F" w:rsidR="003917AC" w:rsidRDefault="003917AC" w:rsidP="003917AC">
    <w:pPr>
      <w:pStyle w:val="Encabezado"/>
      <w:jc w:val="right"/>
    </w:pPr>
  </w:p>
  <w:p w14:paraId="66D1F0FC" w14:textId="77777777" w:rsidR="003917AC" w:rsidRDefault="003917A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60E12" w14:textId="4A11C5C3" w:rsidR="00884E70" w:rsidRDefault="00884E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A56"/>
    <w:multiLevelType w:val="hybridMultilevel"/>
    <w:tmpl w:val="6A1C130C"/>
    <w:lvl w:ilvl="0" w:tplc="AD983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983F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05D73"/>
    <w:multiLevelType w:val="hybridMultilevel"/>
    <w:tmpl w:val="56C2E89E"/>
    <w:lvl w:ilvl="0" w:tplc="1BB8C2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47D04"/>
    <w:multiLevelType w:val="hybridMultilevel"/>
    <w:tmpl w:val="9D8CAE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74AE4"/>
    <w:multiLevelType w:val="hybridMultilevel"/>
    <w:tmpl w:val="103E97DE"/>
    <w:lvl w:ilvl="0" w:tplc="935E0B04">
      <w:numFmt w:val="bullet"/>
      <w:lvlText w:val="-"/>
      <w:lvlJc w:val="left"/>
      <w:pPr>
        <w:ind w:left="720" w:hanging="360"/>
      </w:pPr>
      <w:rPr>
        <w:rFonts w:ascii="Fira Sans" w:eastAsia="Calibri" w:hAnsi="Fira Sans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C2D14"/>
    <w:multiLevelType w:val="hybridMultilevel"/>
    <w:tmpl w:val="19E4BCA4"/>
    <w:lvl w:ilvl="0" w:tplc="8FEA9BE4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EC54F42"/>
    <w:multiLevelType w:val="hybridMultilevel"/>
    <w:tmpl w:val="C6F077DA"/>
    <w:lvl w:ilvl="0" w:tplc="AD983F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06"/>
    <w:rsid w:val="00004A8F"/>
    <w:rsid w:val="00023E1C"/>
    <w:rsid w:val="000315DF"/>
    <w:rsid w:val="00082CE9"/>
    <w:rsid w:val="000922F1"/>
    <w:rsid w:val="000B478A"/>
    <w:rsid w:val="001821A0"/>
    <w:rsid w:val="001B2CB9"/>
    <w:rsid w:val="00205C95"/>
    <w:rsid w:val="00206BAF"/>
    <w:rsid w:val="002232ED"/>
    <w:rsid w:val="00231242"/>
    <w:rsid w:val="0023643C"/>
    <w:rsid w:val="00266BE6"/>
    <w:rsid w:val="00281097"/>
    <w:rsid w:val="00291D75"/>
    <w:rsid w:val="002D5619"/>
    <w:rsid w:val="00330BB2"/>
    <w:rsid w:val="003338AF"/>
    <w:rsid w:val="003620F3"/>
    <w:rsid w:val="0036368D"/>
    <w:rsid w:val="00375D98"/>
    <w:rsid w:val="003917AC"/>
    <w:rsid w:val="003D4FE1"/>
    <w:rsid w:val="003D74EB"/>
    <w:rsid w:val="003F3AE5"/>
    <w:rsid w:val="00410EF8"/>
    <w:rsid w:val="0041170E"/>
    <w:rsid w:val="00455D32"/>
    <w:rsid w:val="0049182A"/>
    <w:rsid w:val="00497662"/>
    <w:rsid w:val="005157BE"/>
    <w:rsid w:val="00565A13"/>
    <w:rsid w:val="005D35A0"/>
    <w:rsid w:val="005E0447"/>
    <w:rsid w:val="005E3F89"/>
    <w:rsid w:val="00610381"/>
    <w:rsid w:val="00613778"/>
    <w:rsid w:val="00683833"/>
    <w:rsid w:val="00686804"/>
    <w:rsid w:val="006E6E50"/>
    <w:rsid w:val="00707C5F"/>
    <w:rsid w:val="00710890"/>
    <w:rsid w:val="00743AE6"/>
    <w:rsid w:val="00745999"/>
    <w:rsid w:val="00765469"/>
    <w:rsid w:val="007A6AC9"/>
    <w:rsid w:val="007C0D64"/>
    <w:rsid w:val="007E61CD"/>
    <w:rsid w:val="008064A9"/>
    <w:rsid w:val="00816708"/>
    <w:rsid w:val="00884E70"/>
    <w:rsid w:val="00884F86"/>
    <w:rsid w:val="008B56BF"/>
    <w:rsid w:val="008B7A19"/>
    <w:rsid w:val="008E0C84"/>
    <w:rsid w:val="008E1469"/>
    <w:rsid w:val="00924D14"/>
    <w:rsid w:val="00930148"/>
    <w:rsid w:val="009448A9"/>
    <w:rsid w:val="00963706"/>
    <w:rsid w:val="00975419"/>
    <w:rsid w:val="009904CA"/>
    <w:rsid w:val="00994317"/>
    <w:rsid w:val="009A6C02"/>
    <w:rsid w:val="009B7F77"/>
    <w:rsid w:val="009D48F2"/>
    <w:rsid w:val="009F75B1"/>
    <w:rsid w:val="00A0092B"/>
    <w:rsid w:val="00A01556"/>
    <w:rsid w:val="00A100DD"/>
    <w:rsid w:val="00A35584"/>
    <w:rsid w:val="00A8068B"/>
    <w:rsid w:val="00A8563B"/>
    <w:rsid w:val="00AE5DE5"/>
    <w:rsid w:val="00B10073"/>
    <w:rsid w:val="00B13A5F"/>
    <w:rsid w:val="00B16FAF"/>
    <w:rsid w:val="00B25C70"/>
    <w:rsid w:val="00B55DA5"/>
    <w:rsid w:val="00B672BF"/>
    <w:rsid w:val="00B968EF"/>
    <w:rsid w:val="00BB20CB"/>
    <w:rsid w:val="00BD54B2"/>
    <w:rsid w:val="00C16CC3"/>
    <w:rsid w:val="00C222F7"/>
    <w:rsid w:val="00C31D5C"/>
    <w:rsid w:val="00C7206C"/>
    <w:rsid w:val="00C82ED6"/>
    <w:rsid w:val="00CB03A0"/>
    <w:rsid w:val="00CB1D94"/>
    <w:rsid w:val="00CB6B02"/>
    <w:rsid w:val="00CF1B75"/>
    <w:rsid w:val="00D303C6"/>
    <w:rsid w:val="00D32738"/>
    <w:rsid w:val="00D35260"/>
    <w:rsid w:val="00D4221C"/>
    <w:rsid w:val="00D97649"/>
    <w:rsid w:val="00DA699D"/>
    <w:rsid w:val="00DB2655"/>
    <w:rsid w:val="00DD1BAB"/>
    <w:rsid w:val="00E321D7"/>
    <w:rsid w:val="00E478E2"/>
    <w:rsid w:val="00E65A59"/>
    <w:rsid w:val="00E9791D"/>
    <w:rsid w:val="00EB6493"/>
    <w:rsid w:val="00F03379"/>
    <w:rsid w:val="00F2741C"/>
    <w:rsid w:val="00F35AC9"/>
    <w:rsid w:val="00F81769"/>
    <w:rsid w:val="00F918B3"/>
    <w:rsid w:val="00FA2015"/>
    <w:rsid w:val="00FC38A6"/>
    <w:rsid w:val="00F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1DC87"/>
  <w15:docId w15:val="{552D4D74-3BC7-4C68-A726-7D0F16F0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7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6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6708"/>
  </w:style>
  <w:style w:type="paragraph" w:styleId="Piedepgina">
    <w:name w:val="footer"/>
    <w:basedOn w:val="Normal"/>
    <w:link w:val="PiedepginaCar"/>
    <w:uiPriority w:val="99"/>
    <w:unhideWhenUsed/>
    <w:rsid w:val="00816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6708"/>
  </w:style>
  <w:style w:type="table" w:styleId="Tablaconcuadrcula">
    <w:name w:val="Table Grid"/>
    <w:basedOn w:val="Tablanormal"/>
    <w:uiPriority w:val="59"/>
    <w:rsid w:val="00F2741C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7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F7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E5DE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66BE6"/>
    <w:pPr>
      <w:spacing w:after="0" w:line="240" w:lineRule="auto"/>
    </w:pPr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66BE6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266BE6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unhideWhenUsed/>
    <w:rsid w:val="00E65A5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5A59"/>
  </w:style>
  <w:style w:type="character" w:styleId="Hipervnculo">
    <w:name w:val="Hyperlink"/>
    <w:basedOn w:val="Fuentedeprrafopredeter"/>
    <w:uiPriority w:val="99"/>
    <w:unhideWhenUsed/>
    <w:rsid w:val="00A3558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35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rmi.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A5B5-8D7A-4D75-B491-2B0FDB54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Torres Martínez, Josefa</dc:creator>
  <cp:lastModifiedBy>Cermi</cp:lastModifiedBy>
  <cp:revision>2</cp:revision>
  <cp:lastPrinted>2021-10-04T14:38:00Z</cp:lastPrinted>
  <dcterms:created xsi:type="dcterms:W3CDTF">2021-10-06T17:21:00Z</dcterms:created>
  <dcterms:modified xsi:type="dcterms:W3CDTF">2021-10-06T17:21:00Z</dcterms:modified>
</cp:coreProperties>
</file>