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B52F8" w14:textId="298E1955" w:rsidR="00B23BED" w:rsidRPr="00B23BED" w:rsidRDefault="00B23BED" w:rsidP="00BF45CF">
      <w:pPr>
        <w:spacing w:after="0" w:line="360" w:lineRule="auto"/>
        <w:jc w:val="center"/>
        <w:rPr>
          <w:rFonts w:ascii="Abadi" w:hAnsi="Abadi"/>
          <w:b/>
          <w:bCs/>
          <w:sz w:val="28"/>
          <w:szCs w:val="28"/>
          <w:lang w:val="es-ES"/>
        </w:rPr>
      </w:pPr>
      <w:r w:rsidRPr="00B23BED">
        <w:rPr>
          <w:rFonts w:ascii="Abadi" w:hAnsi="Abadi"/>
          <w:noProof/>
          <w:sz w:val="28"/>
          <w:szCs w:val="28"/>
        </w:rPr>
        <w:drawing>
          <wp:inline distT="0" distB="0" distL="0" distR="0" wp14:anchorId="4B6E9D55" wp14:editId="289C6E89">
            <wp:extent cx="1481138" cy="961902"/>
            <wp:effectExtent l="0" t="0" r="5080" b="0"/>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253" cy="964574"/>
                    </a:xfrm>
                    <a:prstGeom prst="rect">
                      <a:avLst/>
                    </a:prstGeom>
                    <a:noFill/>
                    <a:ln>
                      <a:noFill/>
                    </a:ln>
                  </pic:spPr>
                </pic:pic>
              </a:graphicData>
            </a:graphic>
          </wp:inline>
        </w:drawing>
      </w:r>
    </w:p>
    <w:p w14:paraId="6E3DFAED" w14:textId="406FCFFC" w:rsidR="00BF45CF" w:rsidRDefault="003A7FC7" w:rsidP="00B23BED">
      <w:pPr>
        <w:pStyle w:val="Sinespaciado"/>
        <w:pBdr>
          <w:bottom w:val="single" w:sz="12" w:space="1" w:color="auto"/>
        </w:pBdr>
        <w:jc w:val="both"/>
        <w:rPr>
          <w:rFonts w:ascii="Abadi" w:hAnsi="Abadi"/>
          <w:b/>
          <w:bCs/>
          <w:sz w:val="28"/>
          <w:szCs w:val="28"/>
          <w:shd w:val="clear" w:color="auto" w:fill="FFFFFF"/>
          <w:lang w:val="es-ES"/>
        </w:rPr>
      </w:pPr>
      <w:r>
        <w:rPr>
          <w:rFonts w:ascii="Abadi" w:hAnsi="Abadi"/>
          <w:b/>
          <w:bCs/>
          <w:sz w:val="28"/>
          <w:szCs w:val="28"/>
          <w:lang w:val="es-ES"/>
        </w:rPr>
        <w:t>P</w:t>
      </w:r>
      <w:r w:rsidRPr="00B23BED">
        <w:rPr>
          <w:rFonts w:ascii="Abadi" w:hAnsi="Abadi"/>
          <w:b/>
          <w:bCs/>
          <w:sz w:val="28"/>
          <w:szCs w:val="28"/>
          <w:lang w:val="es-ES"/>
        </w:rPr>
        <w:t xml:space="preserve">ropuesta de enmienda del </w:t>
      </w:r>
      <w:r>
        <w:rPr>
          <w:rFonts w:ascii="Abadi" w:hAnsi="Abadi"/>
          <w:b/>
          <w:bCs/>
          <w:sz w:val="28"/>
          <w:szCs w:val="28"/>
          <w:lang w:val="es-ES"/>
        </w:rPr>
        <w:t>CERMI</w:t>
      </w:r>
      <w:r w:rsidRPr="00B23BED">
        <w:rPr>
          <w:rFonts w:ascii="Abadi" w:hAnsi="Abadi"/>
          <w:b/>
          <w:bCs/>
          <w:sz w:val="28"/>
          <w:szCs w:val="28"/>
          <w:lang w:val="es-ES"/>
        </w:rPr>
        <w:t xml:space="preserve"> (discapacidad organizada) al </w:t>
      </w:r>
      <w:r>
        <w:rPr>
          <w:rFonts w:ascii="Abadi" w:hAnsi="Abadi"/>
          <w:b/>
          <w:bCs/>
          <w:sz w:val="28"/>
          <w:szCs w:val="28"/>
          <w:shd w:val="clear" w:color="auto" w:fill="FFFFFF"/>
          <w:lang w:val="es-ES"/>
        </w:rPr>
        <w:t>P</w:t>
      </w:r>
      <w:r w:rsidRPr="00B23BED">
        <w:rPr>
          <w:rFonts w:ascii="Abadi" w:hAnsi="Abadi"/>
          <w:b/>
          <w:bCs/>
          <w:sz w:val="28"/>
          <w:szCs w:val="28"/>
          <w:shd w:val="clear" w:color="auto" w:fill="FFFFFF"/>
          <w:lang w:val="es-ES"/>
        </w:rPr>
        <w:t xml:space="preserve">royecto de </w:t>
      </w:r>
      <w:r>
        <w:rPr>
          <w:rFonts w:ascii="Abadi" w:hAnsi="Abadi"/>
          <w:b/>
          <w:bCs/>
          <w:sz w:val="28"/>
          <w:szCs w:val="28"/>
          <w:shd w:val="clear" w:color="auto" w:fill="FFFFFF"/>
          <w:lang w:val="es-ES"/>
        </w:rPr>
        <w:t>L</w:t>
      </w:r>
      <w:r w:rsidRPr="00B23BED">
        <w:rPr>
          <w:rFonts w:ascii="Abadi" w:hAnsi="Abadi"/>
          <w:b/>
          <w:bCs/>
          <w:sz w:val="28"/>
          <w:szCs w:val="28"/>
          <w:shd w:val="clear" w:color="auto" w:fill="FFFFFF"/>
          <w:lang w:val="es-ES"/>
        </w:rPr>
        <w:t xml:space="preserve">ey por el que se adapta el texto refundido de la </w:t>
      </w:r>
      <w:r>
        <w:rPr>
          <w:rFonts w:ascii="Abadi" w:hAnsi="Abadi"/>
          <w:b/>
          <w:bCs/>
          <w:sz w:val="28"/>
          <w:szCs w:val="28"/>
          <w:shd w:val="clear" w:color="auto" w:fill="FFFFFF"/>
          <w:lang w:val="es-ES"/>
        </w:rPr>
        <w:t>L</w:t>
      </w:r>
      <w:r w:rsidRPr="00B23BED">
        <w:rPr>
          <w:rFonts w:ascii="Abadi" w:hAnsi="Abadi"/>
          <w:b/>
          <w:bCs/>
          <w:sz w:val="28"/>
          <w:szCs w:val="28"/>
          <w:shd w:val="clear" w:color="auto" w:fill="FFFFFF"/>
          <w:lang w:val="es-ES"/>
        </w:rPr>
        <w:t xml:space="preserve">ey reguladora de las </w:t>
      </w:r>
      <w:r>
        <w:rPr>
          <w:rFonts w:ascii="Abadi" w:hAnsi="Abadi"/>
          <w:b/>
          <w:bCs/>
          <w:sz w:val="28"/>
          <w:szCs w:val="28"/>
          <w:shd w:val="clear" w:color="auto" w:fill="FFFFFF"/>
          <w:lang w:val="es-ES"/>
        </w:rPr>
        <w:t>H</w:t>
      </w:r>
      <w:r w:rsidRPr="00B23BED">
        <w:rPr>
          <w:rFonts w:ascii="Abadi" w:hAnsi="Abadi"/>
          <w:b/>
          <w:bCs/>
          <w:sz w:val="28"/>
          <w:szCs w:val="28"/>
          <w:shd w:val="clear" w:color="auto" w:fill="FFFFFF"/>
          <w:lang w:val="es-ES"/>
        </w:rPr>
        <w:t xml:space="preserve">aciendas </w:t>
      </w:r>
      <w:r>
        <w:rPr>
          <w:rFonts w:ascii="Abadi" w:hAnsi="Abadi"/>
          <w:b/>
          <w:bCs/>
          <w:sz w:val="28"/>
          <w:szCs w:val="28"/>
          <w:shd w:val="clear" w:color="auto" w:fill="FFFFFF"/>
          <w:lang w:val="es-ES"/>
        </w:rPr>
        <w:t>L</w:t>
      </w:r>
      <w:r w:rsidRPr="00B23BED">
        <w:rPr>
          <w:rFonts w:ascii="Abadi" w:hAnsi="Abadi"/>
          <w:b/>
          <w:bCs/>
          <w:sz w:val="28"/>
          <w:szCs w:val="28"/>
          <w:shd w:val="clear" w:color="auto" w:fill="FFFFFF"/>
          <w:lang w:val="es-ES"/>
        </w:rPr>
        <w:t xml:space="preserve">ocales aprobado por el </w:t>
      </w:r>
      <w:r>
        <w:rPr>
          <w:rFonts w:ascii="Abadi" w:hAnsi="Abadi"/>
          <w:b/>
          <w:bCs/>
          <w:sz w:val="28"/>
          <w:szCs w:val="28"/>
          <w:shd w:val="clear" w:color="auto" w:fill="FFFFFF"/>
          <w:lang w:val="es-ES"/>
        </w:rPr>
        <w:t>R</w:t>
      </w:r>
      <w:r w:rsidRPr="00B23BED">
        <w:rPr>
          <w:rFonts w:ascii="Abadi" w:hAnsi="Abadi"/>
          <w:b/>
          <w:bCs/>
          <w:sz w:val="28"/>
          <w:szCs w:val="28"/>
          <w:shd w:val="clear" w:color="auto" w:fill="FFFFFF"/>
          <w:lang w:val="es-ES"/>
        </w:rPr>
        <w:t xml:space="preserve">eal </w:t>
      </w:r>
      <w:r>
        <w:rPr>
          <w:rFonts w:ascii="Abadi" w:hAnsi="Abadi"/>
          <w:b/>
          <w:bCs/>
          <w:sz w:val="28"/>
          <w:szCs w:val="28"/>
          <w:shd w:val="clear" w:color="auto" w:fill="FFFFFF"/>
          <w:lang w:val="es-ES"/>
        </w:rPr>
        <w:t>D</w:t>
      </w:r>
      <w:r w:rsidRPr="00B23BED">
        <w:rPr>
          <w:rFonts w:ascii="Abadi" w:hAnsi="Abadi"/>
          <w:b/>
          <w:bCs/>
          <w:sz w:val="28"/>
          <w:szCs w:val="28"/>
          <w:shd w:val="clear" w:color="auto" w:fill="FFFFFF"/>
          <w:lang w:val="es-ES"/>
        </w:rPr>
        <w:t xml:space="preserve">ecreto </w:t>
      </w:r>
      <w:r>
        <w:rPr>
          <w:rFonts w:ascii="Abadi" w:hAnsi="Abadi"/>
          <w:b/>
          <w:bCs/>
          <w:sz w:val="28"/>
          <w:szCs w:val="28"/>
          <w:shd w:val="clear" w:color="auto" w:fill="FFFFFF"/>
          <w:lang w:val="es-ES"/>
        </w:rPr>
        <w:t>L</w:t>
      </w:r>
      <w:r w:rsidRPr="00B23BED">
        <w:rPr>
          <w:rFonts w:ascii="Abadi" w:hAnsi="Abadi"/>
          <w:b/>
          <w:bCs/>
          <w:sz w:val="28"/>
          <w:szCs w:val="28"/>
          <w:shd w:val="clear" w:color="auto" w:fill="FFFFFF"/>
          <w:lang w:val="es-ES"/>
        </w:rPr>
        <w:t xml:space="preserve">egislativo 2/2004, de 5 de marzo, a la reciente jurisprudencia del </w:t>
      </w:r>
      <w:r>
        <w:rPr>
          <w:rFonts w:ascii="Abadi" w:hAnsi="Abadi"/>
          <w:b/>
          <w:bCs/>
          <w:sz w:val="28"/>
          <w:szCs w:val="28"/>
          <w:shd w:val="clear" w:color="auto" w:fill="FFFFFF"/>
          <w:lang w:val="es-ES"/>
        </w:rPr>
        <w:t>T</w:t>
      </w:r>
      <w:r w:rsidRPr="00B23BED">
        <w:rPr>
          <w:rFonts w:ascii="Abadi" w:hAnsi="Abadi"/>
          <w:b/>
          <w:bCs/>
          <w:sz w:val="28"/>
          <w:szCs w:val="28"/>
          <w:shd w:val="clear" w:color="auto" w:fill="FFFFFF"/>
          <w:lang w:val="es-ES"/>
        </w:rPr>
        <w:t xml:space="preserve">ribunal </w:t>
      </w:r>
      <w:r>
        <w:rPr>
          <w:rFonts w:ascii="Abadi" w:hAnsi="Abadi"/>
          <w:b/>
          <w:bCs/>
          <w:sz w:val="28"/>
          <w:szCs w:val="28"/>
          <w:shd w:val="clear" w:color="auto" w:fill="FFFFFF"/>
          <w:lang w:val="es-ES"/>
        </w:rPr>
        <w:t>C</w:t>
      </w:r>
      <w:r w:rsidRPr="00B23BED">
        <w:rPr>
          <w:rFonts w:ascii="Abadi" w:hAnsi="Abadi"/>
          <w:b/>
          <w:bCs/>
          <w:sz w:val="28"/>
          <w:szCs w:val="28"/>
          <w:shd w:val="clear" w:color="auto" w:fill="FFFFFF"/>
          <w:lang w:val="es-ES"/>
        </w:rPr>
        <w:t xml:space="preserve">onstitucional respecto del impuesto sobre el </w:t>
      </w:r>
      <w:r>
        <w:rPr>
          <w:rFonts w:ascii="Abadi" w:hAnsi="Abadi"/>
          <w:b/>
          <w:bCs/>
          <w:sz w:val="28"/>
          <w:szCs w:val="28"/>
          <w:shd w:val="clear" w:color="auto" w:fill="FFFFFF"/>
          <w:lang w:val="es-ES"/>
        </w:rPr>
        <w:t>I</w:t>
      </w:r>
      <w:r w:rsidRPr="00B23BED">
        <w:rPr>
          <w:rFonts w:ascii="Abadi" w:hAnsi="Abadi"/>
          <w:b/>
          <w:bCs/>
          <w:sz w:val="28"/>
          <w:szCs w:val="28"/>
          <w:shd w:val="clear" w:color="auto" w:fill="FFFFFF"/>
          <w:lang w:val="es-ES"/>
        </w:rPr>
        <w:t xml:space="preserve">ncremento de </w:t>
      </w:r>
      <w:r>
        <w:rPr>
          <w:rFonts w:ascii="Abadi" w:hAnsi="Abadi"/>
          <w:b/>
          <w:bCs/>
          <w:sz w:val="28"/>
          <w:szCs w:val="28"/>
          <w:shd w:val="clear" w:color="auto" w:fill="FFFFFF"/>
          <w:lang w:val="es-ES"/>
        </w:rPr>
        <w:t>V</w:t>
      </w:r>
      <w:r w:rsidRPr="00B23BED">
        <w:rPr>
          <w:rFonts w:ascii="Abadi" w:hAnsi="Abadi"/>
          <w:b/>
          <w:bCs/>
          <w:sz w:val="28"/>
          <w:szCs w:val="28"/>
          <w:shd w:val="clear" w:color="auto" w:fill="FFFFFF"/>
          <w:lang w:val="es-ES"/>
        </w:rPr>
        <w:t xml:space="preserve">alor de los </w:t>
      </w:r>
      <w:r>
        <w:rPr>
          <w:rFonts w:ascii="Abadi" w:hAnsi="Abadi"/>
          <w:b/>
          <w:bCs/>
          <w:sz w:val="28"/>
          <w:szCs w:val="28"/>
          <w:shd w:val="clear" w:color="auto" w:fill="FFFFFF"/>
          <w:lang w:val="es-ES"/>
        </w:rPr>
        <w:t>T</w:t>
      </w:r>
      <w:r w:rsidRPr="00B23BED">
        <w:rPr>
          <w:rFonts w:ascii="Abadi" w:hAnsi="Abadi"/>
          <w:b/>
          <w:bCs/>
          <w:sz w:val="28"/>
          <w:szCs w:val="28"/>
          <w:shd w:val="clear" w:color="auto" w:fill="FFFFFF"/>
          <w:lang w:val="es-ES"/>
        </w:rPr>
        <w:t xml:space="preserve">errenos de naturaleza urbana (procedente del </w:t>
      </w:r>
      <w:r>
        <w:rPr>
          <w:rFonts w:ascii="Abadi" w:hAnsi="Abadi"/>
          <w:b/>
          <w:bCs/>
          <w:sz w:val="28"/>
          <w:szCs w:val="28"/>
          <w:shd w:val="clear" w:color="auto" w:fill="FFFFFF"/>
          <w:lang w:val="es-ES"/>
        </w:rPr>
        <w:t>R</w:t>
      </w:r>
      <w:r w:rsidRPr="00B23BED">
        <w:rPr>
          <w:rFonts w:ascii="Abadi" w:hAnsi="Abadi"/>
          <w:b/>
          <w:bCs/>
          <w:sz w:val="28"/>
          <w:szCs w:val="28"/>
          <w:shd w:val="clear" w:color="auto" w:fill="FFFFFF"/>
          <w:lang w:val="es-ES"/>
        </w:rPr>
        <w:t xml:space="preserve">eal </w:t>
      </w:r>
      <w:r>
        <w:rPr>
          <w:rFonts w:ascii="Abadi" w:hAnsi="Abadi"/>
          <w:b/>
          <w:bCs/>
          <w:sz w:val="28"/>
          <w:szCs w:val="28"/>
          <w:shd w:val="clear" w:color="auto" w:fill="FFFFFF"/>
          <w:lang w:val="es-ES"/>
        </w:rPr>
        <w:t>D</w:t>
      </w:r>
      <w:r w:rsidRPr="00B23BED">
        <w:rPr>
          <w:rFonts w:ascii="Abadi" w:hAnsi="Abadi"/>
          <w:b/>
          <w:bCs/>
          <w:sz w:val="28"/>
          <w:szCs w:val="28"/>
          <w:shd w:val="clear" w:color="auto" w:fill="FFFFFF"/>
          <w:lang w:val="es-ES"/>
        </w:rPr>
        <w:t>ecreto-</w:t>
      </w:r>
      <w:r>
        <w:rPr>
          <w:rFonts w:ascii="Abadi" w:hAnsi="Abadi"/>
          <w:b/>
          <w:bCs/>
          <w:sz w:val="28"/>
          <w:szCs w:val="28"/>
          <w:shd w:val="clear" w:color="auto" w:fill="FFFFFF"/>
          <w:lang w:val="es-ES"/>
        </w:rPr>
        <w:t>L</w:t>
      </w:r>
      <w:r w:rsidRPr="00B23BED">
        <w:rPr>
          <w:rFonts w:ascii="Abadi" w:hAnsi="Abadi"/>
          <w:b/>
          <w:bCs/>
          <w:sz w:val="28"/>
          <w:szCs w:val="28"/>
          <w:shd w:val="clear" w:color="auto" w:fill="FFFFFF"/>
          <w:lang w:val="es-ES"/>
        </w:rPr>
        <w:t>ey 26/2021, de 8 de noviembre)</w:t>
      </w:r>
    </w:p>
    <w:p w14:paraId="02809CB2" w14:textId="77777777" w:rsidR="00BF45CF" w:rsidRPr="00B23BED" w:rsidRDefault="00BF45CF" w:rsidP="00BF45CF">
      <w:pPr>
        <w:pStyle w:val="Textoindependiente"/>
        <w:spacing w:line="360" w:lineRule="auto"/>
        <w:ind w:right="-81"/>
        <w:rPr>
          <w:rFonts w:ascii="Abadi" w:hAnsi="Abadi" w:cs="Arial"/>
          <w:b/>
          <w:bCs/>
          <w:sz w:val="28"/>
          <w:szCs w:val="28"/>
          <w:u w:val="single"/>
        </w:rPr>
      </w:pPr>
    </w:p>
    <w:p w14:paraId="0A3B12BA" w14:textId="77777777" w:rsidR="00BF45CF" w:rsidRPr="00B23BED" w:rsidRDefault="00BF45CF" w:rsidP="00BF45CF">
      <w:pPr>
        <w:pStyle w:val="Textoindependiente"/>
        <w:spacing w:line="360" w:lineRule="auto"/>
        <w:ind w:right="-81"/>
        <w:rPr>
          <w:rFonts w:ascii="Abadi" w:hAnsi="Abadi" w:cs="Arial"/>
          <w:b/>
          <w:bCs/>
          <w:sz w:val="28"/>
          <w:szCs w:val="28"/>
          <w:u w:val="single"/>
        </w:rPr>
      </w:pPr>
      <w:r w:rsidRPr="00B23BED">
        <w:rPr>
          <w:rFonts w:ascii="Abadi" w:hAnsi="Abadi" w:cs="Arial"/>
          <w:b/>
          <w:bCs/>
          <w:sz w:val="28"/>
          <w:szCs w:val="28"/>
          <w:u w:val="single"/>
        </w:rPr>
        <w:t>Justificación</w:t>
      </w:r>
    </w:p>
    <w:p w14:paraId="174A1841" w14:textId="2ACAA243" w:rsidR="00BF45CF" w:rsidRPr="00B23BED" w:rsidRDefault="00BF45CF" w:rsidP="00BF45CF">
      <w:pPr>
        <w:pStyle w:val="Textoindependiente"/>
        <w:spacing w:line="360" w:lineRule="auto"/>
        <w:ind w:right="-81"/>
        <w:rPr>
          <w:rFonts w:ascii="Abadi" w:hAnsi="Abadi" w:cs="Arial"/>
          <w:bCs/>
          <w:sz w:val="28"/>
          <w:szCs w:val="28"/>
        </w:rPr>
      </w:pPr>
    </w:p>
    <w:p w14:paraId="3D262411" w14:textId="2E856CAD" w:rsidR="00BF45CF" w:rsidRPr="00B23BED" w:rsidRDefault="00BF45CF" w:rsidP="00BF45CF">
      <w:pPr>
        <w:pStyle w:val="Textoindependiente"/>
        <w:spacing w:line="360" w:lineRule="auto"/>
        <w:ind w:right="-81"/>
        <w:rPr>
          <w:rFonts w:ascii="Abadi" w:hAnsi="Abadi" w:cs="Arial"/>
          <w:bCs/>
          <w:sz w:val="28"/>
          <w:szCs w:val="28"/>
        </w:rPr>
      </w:pPr>
      <w:r w:rsidRPr="00B23BED">
        <w:rPr>
          <w:rFonts w:ascii="Abadi" w:hAnsi="Abadi" w:cs="Arial"/>
          <w:bCs/>
          <w:sz w:val="28"/>
          <w:szCs w:val="28"/>
        </w:rPr>
        <w:t xml:space="preserve">El ordenamiento tributario español ha incorporado </w:t>
      </w:r>
      <w:r w:rsidR="00301EB9">
        <w:rPr>
          <w:rFonts w:ascii="Abadi" w:hAnsi="Abadi" w:cs="Arial"/>
          <w:bCs/>
          <w:sz w:val="28"/>
          <w:szCs w:val="28"/>
        </w:rPr>
        <w:t xml:space="preserve">progresivamente </w:t>
      </w:r>
      <w:r w:rsidRPr="00B23BED">
        <w:rPr>
          <w:rFonts w:ascii="Abadi" w:hAnsi="Abadi" w:cs="Arial"/>
          <w:bCs/>
          <w:sz w:val="28"/>
          <w:szCs w:val="28"/>
        </w:rPr>
        <w:t xml:space="preserve">la consideración de la discapacidad a la determinación de las obligaciones tributarias de varios impuestos, para tener en cuenta </w:t>
      </w:r>
      <w:r w:rsidR="00301EB9">
        <w:rPr>
          <w:rFonts w:ascii="Abadi" w:hAnsi="Abadi" w:cs="Arial"/>
          <w:bCs/>
          <w:sz w:val="28"/>
          <w:szCs w:val="28"/>
        </w:rPr>
        <w:t>e</w:t>
      </w:r>
      <w:r w:rsidRPr="00B23BED">
        <w:rPr>
          <w:rFonts w:ascii="Abadi" w:hAnsi="Abadi" w:cs="Arial"/>
          <w:bCs/>
          <w:sz w:val="28"/>
          <w:szCs w:val="28"/>
        </w:rPr>
        <w:t>l</w:t>
      </w:r>
      <w:r w:rsidR="00301EB9">
        <w:rPr>
          <w:rFonts w:ascii="Abadi" w:hAnsi="Abadi" w:cs="Arial"/>
          <w:bCs/>
          <w:sz w:val="28"/>
          <w:szCs w:val="28"/>
        </w:rPr>
        <w:t xml:space="preserve"> impacto </w:t>
      </w:r>
      <w:r w:rsidRPr="00B23BED">
        <w:rPr>
          <w:rFonts w:ascii="Abadi" w:hAnsi="Abadi" w:cs="Arial"/>
          <w:bCs/>
          <w:sz w:val="28"/>
          <w:szCs w:val="28"/>
        </w:rPr>
        <w:t xml:space="preserve">que la discapacidad produce en la capacidad económica de los contribuyentes que la </w:t>
      </w:r>
      <w:r w:rsidR="00301EB9">
        <w:rPr>
          <w:rFonts w:ascii="Abadi" w:hAnsi="Abadi" w:cs="Arial"/>
          <w:bCs/>
          <w:sz w:val="28"/>
          <w:szCs w:val="28"/>
        </w:rPr>
        <w:t xml:space="preserve">presenten </w:t>
      </w:r>
      <w:r w:rsidRPr="00B23BED">
        <w:rPr>
          <w:rFonts w:ascii="Abadi" w:hAnsi="Abadi" w:cs="Arial"/>
          <w:bCs/>
          <w:sz w:val="28"/>
          <w:szCs w:val="28"/>
        </w:rPr>
        <w:t xml:space="preserve">y facilitar asimismo su inserción en el mercado laboral y </w:t>
      </w:r>
      <w:r w:rsidR="00301EB9">
        <w:rPr>
          <w:rFonts w:ascii="Abadi" w:hAnsi="Abadi" w:cs="Arial"/>
          <w:bCs/>
          <w:sz w:val="28"/>
          <w:szCs w:val="28"/>
        </w:rPr>
        <w:t xml:space="preserve">su participación en la </w:t>
      </w:r>
      <w:r w:rsidRPr="00B23BED">
        <w:rPr>
          <w:rFonts w:ascii="Abadi" w:hAnsi="Abadi" w:cs="Arial"/>
          <w:bCs/>
          <w:sz w:val="28"/>
          <w:szCs w:val="28"/>
        </w:rPr>
        <w:t xml:space="preserve">vida </w:t>
      </w:r>
      <w:r w:rsidR="00301EB9">
        <w:rPr>
          <w:rFonts w:ascii="Abadi" w:hAnsi="Abadi" w:cs="Arial"/>
          <w:bCs/>
          <w:sz w:val="28"/>
          <w:szCs w:val="28"/>
        </w:rPr>
        <w:t>comunitaria</w:t>
      </w:r>
      <w:r w:rsidRPr="00B23BED">
        <w:rPr>
          <w:rFonts w:ascii="Abadi" w:hAnsi="Abadi" w:cs="Arial"/>
          <w:bCs/>
          <w:sz w:val="28"/>
          <w:szCs w:val="28"/>
        </w:rPr>
        <w:t>. En tal sentido, hay que recordar los beneficios fiscales incorporados a lo largo de varios años en el Impuesto sobre la Renta de las Personas Físicas, el Impuesto sobre Sociedades, el Impuesto sobre Sucesiones y Donaciones y el Impuesto sobre el Valor Añadido, principalmente.</w:t>
      </w:r>
    </w:p>
    <w:p w14:paraId="2B1E1C08" w14:textId="77777777" w:rsidR="00BF45CF" w:rsidRPr="00B23BED" w:rsidRDefault="00BF45CF" w:rsidP="00BF45CF">
      <w:pPr>
        <w:pStyle w:val="Textoindependiente"/>
        <w:spacing w:line="360" w:lineRule="auto"/>
        <w:ind w:right="-81"/>
        <w:rPr>
          <w:rFonts w:ascii="Abadi" w:hAnsi="Abadi" w:cs="Arial"/>
          <w:bCs/>
          <w:sz w:val="28"/>
          <w:szCs w:val="28"/>
        </w:rPr>
      </w:pPr>
    </w:p>
    <w:p w14:paraId="10912F50" w14:textId="091A8368" w:rsidR="00BF45CF" w:rsidRPr="00B23BED" w:rsidRDefault="00BF45CF" w:rsidP="00BF45CF">
      <w:pPr>
        <w:pStyle w:val="Textoindependiente"/>
        <w:spacing w:line="360" w:lineRule="auto"/>
        <w:ind w:right="-81"/>
        <w:rPr>
          <w:rFonts w:ascii="Abadi" w:hAnsi="Abadi" w:cs="Arial"/>
          <w:bCs/>
          <w:sz w:val="28"/>
          <w:szCs w:val="28"/>
        </w:rPr>
      </w:pPr>
      <w:r w:rsidRPr="00B23BED">
        <w:rPr>
          <w:rFonts w:ascii="Abadi" w:hAnsi="Abadi" w:cs="Arial"/>
          <w:bCs/>
          <w:sz w:val="28"/>
          <w:szCs w:val="28"/>
        </w:rPr>
        <w:t>Sin embargo, el Impuesto sobre el Incremento de Valor de los Terrenos de Naturaleza Urbana ha permanecido ajeno a la consideración de las consecuencias tributarias de la discapacidad, siendo así que su hecho imponible opera en paralelo muchas veces con el Impuesto sobre la Renta de las Personas Físicas o con el Impuesto sobre Sucesiones y Donaciones en el gravamen de transmisiones patrimoniales que involucran situaciones de discapacidad.</w:t>
      </w:r>
    </w:p>
    <w:p w14:paraId="2CD0BE4B" w14:textId="77777777" w:rsidR="00BF45CF" w:rsidRPr="00B23BED" w:rsidRDefault="00BF45CF" w:rsidP="00BF45CF">
      <w:pPr>
        <w:pStyle w:val="Textoindependiente"/>
        <w:spacing w:line="360" w:lineRule="auto"/>
        <w:ind w:right="-81"/>
        <w:rPr>
          <w:rFonts w:ascii="Abadi" w:hAnsi="Abadi" w:cs="Arial"/>
          <w:bCs/>
          <w:sz w:val="28"/>
          <w:szCs w:val="28"/>
        </w:rPr>
      </w:pPr>
    </w:p>
    <w:p w14:paraId="5F211FDB" w14:textId="43BD1A9F" w:rsidR="00BF45CF" w:rsidRPr="00B23BED" w:rsidRDefault="00BF45CF" w:rsidP="00BF45CF">
      <w:pPr>
        <w:pStyle w:val="Textoindependiente"/>
        <w:spacing w:line="360" w:lineRule="auto"/>
        <w:ind w:right="-81"/>
        <w:rPr>
          <w:rFonts w:ascii="Abadi" w:hAnsi="Abadi" w:cs="Arial"/>
          <w:bCs/>
          <w:sz w:val="28"/>
          <w:szCs w:val="28"/>
        </w:rPr>
      </w:pPr>
      <w:r w:rsidRPr="00B23BED">
        <w:rPr>
          <w:rFonts w:ascii="Abadi" w:hAnsi="Abadi" w:cs="Arial"/>
          <w:bCs/>
          <w:sz w:val="28"/>
          <w:szCs w:val="28"/>
        </w:rPr>
        <w:lastRenderedPageBreak/>
        <w:t xml:space="preserve">Resulta evidente que dicho impuesto no puede dejar de lado dichas consideraciones que se hacen de la discapacidad </w:t>
      </w:r>
      <w:r w:rsidR="00301EB9">
        <w:rPr>
          <w:rFonts w:ascii="Abadi" w:hAnsi="Abadi" w:cs="Arial"/>
          <w:bCs/>
          <w:sz w:val="28"/>
          <w:szCs w:val="28"/>
        </w:rPr>
        <w:t xml:space="preserve">en el plano </w:t>
      </w:r>
      <w:r w:rsidRPr="00B23BED">
        <w:rPr>
          <w:rFonts w:ascii="Abadi" w:hAnsi="Abadi" w:cs="Arial"/>
          <w:bCs/>
          <w:sz w:val="28"/>
          <w:szCs w:val="28"/>
        </w:rPr>
        <w:t xml:space="preserve">tributario en otros ámbitos, siendo posible el establecimiento de determinados incentivos que puedan ayudar a paliar la carga tributaria que conlleva </w:t>
      </w:r>
      <w:r w:rsidR="00F75599">
        <w:rPr>
          <w:rFonts w:ascii="Abadi" w:hAnsi="Abadi" w:cs="Arial"/>
          <w:bCs/>
          <w:sz w:val="28"/>
          <w:szCs w:val="28"/>
        </w:rPr>
        <w:t xml:space="preserve">para las personas con discapacidad la </w:t>
      </w:r>
      <w:r w:rsidRPr="00B23BED">
        <w:rPr>
          <w:rFonts w:ascii="Abadi" w:hAnsi="Abadi" w:cs="Arial"/>
          <w:bCs/>
          <w:sz w:val="28"/>
          <w:szCs w:val="28"/>
        </w:rPr>
        <w:t>venta de inmuebles.</w:t>
      </w:r>
    </w:p>
    <w:p w14:paraId="14D001E2" w14:textId="77777777" w:rsidR="00BF45CF" w:rsidRPr="00B23BED" w:rsidRDefault="00BF45CF" w:rsidP="00BF45CF">
      <w:pPr>
        <w:pStyle w:val="Textoindependiente"/>
        <w:spacing w:line="360" w:lineRule="auto"/>
        <w:ind w:right="-81"/>
        <w:rPr>
          <w:rFonts w:ascii="Abadi" w:hAnsi="Abadi" w:cs="Arial"/>
          <w:bCs/>
          <w:sz w:val="28"/>
          <w:szCs w:val="28"/>
        </w:rPr>
      </w:pPr>
    </w:p>
    <w:p w14:paraId="0AE4EF1B" w14:textId="3DD09129" w:rsidR="00BF45CF" w:rsidRPr="00B23BED" w:rsidRDefault="00BF45CF" w:rsidP="00BF45CF">
      <w:pPr>
        <w:pStyle w:val="Textoindependiente"/>
        <w:spacing w:line="360" w:lineRule="auto"/>
        <w:ind w:right="-81"/>
        <w:rPr>
          <w:rFonts w:ascii="Abadi" w:hAnsi="Abadi" w:cs="Arial"/>
          <w:bCs/>
          <w:sz w:val="28"/>
          <w:szCs w:val="28"/>
        </w:rPr>
      </w:pPr>
      <w:r w:rsidRPr="00B23BED">
        <w:rPr>
          <w:rFonts w:ascii="Abadi" w:hAnsi="Abadi" w:cs="Arial"/>
          <w:bCs/>
          <w:sz w:val="28"/>
          <w:szCs w:val="28"/>
        </w:rPr>
        <w:t xml:space="preserve">Y es que no hay que olvidar que, en términos generales y en lo que aquí </w:t>
      </w:r>
      <w:r w:rsidR="00F75599">
        <w:rPr>
          <w:rFonts w:ascii="Abadi" w:hAnsi="Abadi" w:cs="Arial"/>
          <w:bCs/>
          <w:sz w:val="28"/>
          <w:szCs w:val="28"/>
        </w:rPr>
        <w:t>es relevante, e</w:t>
      </w:r>
      <w:r w:rsidRPr="00B23BED">
        <w:rPr>
          <w:rFonts w:ascii="Abadi" w:hAnsi="Abadi" w:cs="Arial"/>
          <w:bCs/>
          <w:sz w:val="28"/>
          <w:szCs w:val="28"/>
        </w:rPr>
        <w:t xml:space="preserve">ste es un tributo que grava el incremento de valor que experimenten los terrenos de naturaleza urbana que se ponga de manifiesto a consecuencia de la transmisión de la propiedad de </w:t>
      </w:r>
      <w:r w:rsidR="00F75599">
        <w:rPr>
          <w:rFonts w:ascii="Abadi" w:hAnsi="Abadi" w:cs="Arial"/>
          <w:bCs/>
          <w:sz w:val="28"/>
          <w:szCs w:val="28"/>
        </w:rPr>
        <w:t>e</w:t>
      </w:r>
      <w:r w:rsidRPr="00B23BED">
        <w:rPr>
          <w:rFonts w:ascii="Abadi" w:hAnsi="Abadi" w:cs="Arial"/>
          <w:bCs/>
          <w:sz w:val="28"/>
          <w:szCs w:val="28"/>
        </w:rPr>
        <w:t>stos.</w:t>
      </w:r>
    </w:p>
    <w:p w14:paraId="0BB59489" w14:textId="77777777" w:rsidR="00BF45CF" w:rsidRPr="00B23BED" w:rsidRDefault="00BF45CF" w:rsidP="00BF45CF">
      <w:pPr>
        <w:pStyle w:val="Textoindependiente"/>
        <w:spacing w:line="360" w:lineRule="auto"/>
        <w:ind w:right="-81"/>
        <w:rPr>
          <w:rFonts w:ascii="Abadi" w:hAnsi="Abadi" w:cs="Arial"/>
          <w:bCs/>
          <w:sz w:val="28"/>
          <w:szCs w:val="28"/>
        </w:rPr>
      </w:pPr>
    </w:p>
    <w:p w14:paraId="50100850" w14:textId="5DC15C27" w:rsidR="00BF45CF" w:rsidRPr="00B23BED" w:rsidRDefault="00BF45CF" w:rsidP="00BF45CF">
      <w:pPr>
        <w:pStyle w:val="Textoindependiente"/>
        <w:spacing w:line="360" w:lineRule="auto"/>
        <w:ind w:right="-81"/>
        <w:rPr>
          <w:rFonts w:ascii="Abadi" w:hAnsi="Abadi" w:cs="Arial"/>
          <w:bCs/>
          <w:sz w:val="28"/>
          <w:szCs w:val="28"/>
        </w:rPr>
      </w:pPr>
      <w:r w:rsidRPr="00B23BED">
        <w:rPr>
          <w:rFonts w:ascii="Abadi" w:hAnsi="Abadi" w:cs="Arial"/>
          <w:bCs/>
          <w:sz w:val="28"/>
          <w:szCs w:val="28"/>
        </w:rPr>
        <w:t>A este respecto</w:t>
      </w:r>
      <w:r w:rsidR="00F75599">
        <w:rPr>
          <w:rFonts w:ascii="Abadi" w:hAnsi="Abadi" w:cs="Arial"/>
          <w:bCs/>
          <w:sz w:val="28"/>
          <w:szCs w:val="28"/>
        </w:rPr>
        <w:t xml:space="preserve">, desde el movimiento social de la discapacidad entendemos que deberían </w:t>
      </w:r>
      <w:r w:rsidRPr="00B23BED">
        <w:rPr>
          <w:rFonts w:ascii="Abadi" w:hAnsi="Abadi" w:cs="Arial"/>
          <w:bCs/>
          <w:sz w:val="28"/>
          <w:szCs w:val="28"/>
        </w:rPr>
        <w:t>arbitrarse beneficios ligados a aquellas situaciones en las que haya personas que, por una situación de discapacidad, deban cambiar de vivienda, dada la posible falta de adecuación de su actual vivienda a la situación de discapacidad de uno de los miembros de la unidad familiar.</w:t>
      </w:r>
    </w:p>
    <w:p w14:paraId="121BB5EA" w14:textId="77777777" w:rsidR="00BF45CF" w:rsidRPr="00B23BED" w:rsidRDefault="00BF45CF" w:rsidP="00BF45CF">
      <w:pPr>
        <w:pStyle w:val="Textoindependiente"/>
        <w:spacing w:line="360" w:lineRule="auto"/>
        <w:ind w:right="-81"/>
        <w:rPr>
          <w:rFonts w:ascii="Abadi" w:hAnsi="Abadi" w:cs="Arial"/>
          <w:bCs/>
          <w:sz w:val="28"/>
          <w:szCs w:val="28"/>
        </w:rPr>
      </w:pPr>
    </w:p>
    <w:p w14:paraId="4C1E851C" w14:textId="77777777" w:rsidR="00BF45CF" w:rsidRPr="00B23BED" w:rsidRDefault="00BF45CF" w:rsidP="00BF45CF">
      <w:pPr>
        <w:pStyle w:val="Textoindependiente"/>
        <w:spacing w:line="360" w:lineRule="auto"/>
        <w:ind w:right="-81"/>
        <w:rPr>
          <w:rFonts w:ascii="Abadi" w:hAnsi="Abadi" w:cs="Arial"/>
          <w:bCs/>
          <w:sz w:val="28"/>
          <w:szCs w:val="28"/>
        </w:rPr>
      </w:pPr>
      <w:r w:rsidRPr="00B23BED">
        <w:rPr>
          <w:rFonts w:ascii="Abadi" w:hAnsi="Abadi" w:cs="Arial"/>
          <w:bCs/>
          <w:sz w:val="28"/>
          <w:szCs w:val="28"/>
        </w:rPr>
        <w:t>Esta situación no es extraña en el ordenamiento jurídico-tributario, ya que, tal y como se establece en el artículo 33.4.b) de la Ley 35/2006 del Impuesto sobre la Renta de las Personas Físicas, se prevé la exención de las ganancias patrimoniales que se pongan de manifiesto con ocasión de la transmisión de su vivienda habitual por mayores de 65 años o por personas en situación de dependencia de conformidad con lo previsto en la Ley 39/2006.</w:t>
      </w:r>
    </w:p>
    <w:p w14:paraId="49E5585D" w14:textId="77777777" w:rsidR="00BF45CF" w:rsidRPr="00B23BED" w:rsidRDefault="00BF45CF" w:rsidP="00BF45CF">
      <w:pPr>
        <w:pStyle w:val="Textoindependiente"/>
        <w:spacing w:line="360" w:lineRule="auto"/>
        <w:ind w:right="-81"/>
        <w:rPr>
          <w:rFonts w:ascii="Abadi" w:hAnsi="Abadi" w:cs="Arial"/>
          <w:bCs/>
          <w:sz w:val="28"/>
          <w:szCs w:val="28"/>
        </w:rPr>
      </w:pPr>
    </w:p>
    <w:p w14:paraId="7E7BD5C7" w14:textId="77777777" w:rsidR="00BF45CF" w:rsidRPr="00B23BED" w:rsidRDefault="00BF45CF" w:rsidP="00BF45CF">
      <w:pPr>
        <w:pStyle w:val="Textoindependiente"/>
        <w:spacing w:line="360" w:lineRule="auto"/>
        <w:ind w:right="-81"/>
        <w:rPr>
          <w:rFonts w:ascii="Abadi" w:hAnsi="Abadi" w:cs="Arial"/>
          <w:bCs/>
          <w:sz w:val="28"/>
          <w:szCs w:val="28"/>
        </w:rPr>
      </w:pPr>
      <w:r w:rsidRPr="00B23BED">
        <w:rPr>
          <w:rFonts w:ascii="Abadi" w:hAnsi="Abadi" w:cs="Arial"/>
          <w:bCs/>
          <w:sz w:val="28"/>
          <w:szCs w:val="28"/>
        </w:rPr>
        <w:t xml:space="preserve">En concreto, y de manera más amplia, se podría proponer que gozaran de </w:t>
      </w:r>
      <w:r w:rsidRPr="00B23BED">
        <w:rPr>
          <w:rFonts w:ascii="Abadi" w:hAnsi="Abadi" w:cs="Arial"/>
          <w:b/>
          <w:bCs/>
          <w:sz w:val="28"/>
          <w:szCs w:val="28"/>
        </w:rPr>
        <w:t>exenciones impositivas las transmisiones realizadas por personas físicas con discapacidad</w:t>
      </w:r>
      <w:r w:rsidRPr="00B23BED">
        <w:rPr>
          <w:rFonts w:ascii="Abadi" w:hAnsi="Abadi" w:cs="Arial"/>
          <w:bCs/>
          <w:sz w:val="28"/>
          <w:szCs w:val="28"/>
        </w:rPr>
        <w:t xml:space="preserve">, siempre que el importe total obtenido por la transmisión se destinara a constituir una </w:t>
      </w:r>
      <w:r w:rsidRPr="00B23BED">
        <w:rPr>
          <w:rFonts w:ascii="Abadi" w:hAnsi="Abadi" w:cs="Arial"/>
          <w:b/>
          <w:bCs/>
          <w:sz w:val="28"/>
          <w:szCs w:val="28"/>
        </w:rPr>
        <w:t>renta vitalicia</w:t>
      </w:r>
      <w:r w:rsidRPr="00B23BED">
        <w:rPr>
          <w:rFonts w:ascii="Abadi" w:hAnsi="Abadi" w:cs="Arial"/>
          <w:bCs/>
          <w:sz w:val="28"/>
          <w:szCs w:val="28"/>
        </w:rPr>
        <w:t xml:space="preserve"> asegurada a su favor, en el plazo de </w:t>
      </w:r>
      <w:r w:rsidRPr="00B23BED">
        <w:rPr>
          <w:rFonts w:ascii="Abadi" w:hAnsi="Abadi" w:cs="Arial"/>
          <w:bCs/>
          <w:sz w:val="28"/>
          <w:szCs w:val="28"/>
        </w:rPr>
        <w:lastRenderedPageBreak/>
        <w:t xml:space="preserve">seis meses desde la fecha de transmisión, o se reinvirtiera en la </w:t>
      </w:r>
      <w:r w:rsidRPr="00B23BED">
        <w:rPr>
          <w:rFonts w:ascii="Abadi" w:hAnsi="Abadi" w:cs="Arial"/>
          <w:b/>
          <w:bCs/>
          <w:sz w:val="28"/>
          <w:szCs w:val="28"/>
        </w:rPr>
        <w:t>adquisición o rehabilitación de una vivienda habitual</w:t>
      </w:r>
      <w:r w:rsidRPr="00B23BED">
        <w:rPr>
          <w:rFonts w:ascii="Abadi" w:hAnsi="Abadi" w:cs="Arial"/>
          <w:bCs/>
          <w:sz w:val="28"/>
          <w:szCs w:val="28"/>
        </w:rPr>
        <w:t>.</w:t>
      </w:r>
    </w:p>
    <w:p w14:paraId="6FC52601" w14:textId="77777777" w:rsidR="00BF45CF" w:rsidRPr="00B23BED" w:rsidRDefault="00BF45CF" w:rsidP="00BF45CF">
      <w:pPr>
        <w:pStyle w:val="Textoindependiente"/>
        <w:spacing w:line="360" w:lineRule="auto"/>
        <w:ind w:right="-81"/>
        <w:rPr>
          <w:rFonts w:ascii="Abadi" w:hAnsi="Abadi" w:cs="Arial"/>
          <w:bCs/>
          <w:sz w:val="28"/>
          <w:szCs w:val="28"/>
        </w:rPr>
      </w:pPr>
    </w:p>
    <w:p w14:paraId="794FF829" w14:textId="271B79AD" w:rsidR="00BF45CF" w:rsidRPr="00B23BED" w:rsidRDefault="00BF45CF" w:rsidP="00BF45CF">
      <w:pPr>
        <w:pStyle w:val="Textoindependiente"/>
        <w:spacing w:line="360" w:lineRule="auto"/>
        <w:ind w:right="-81"/>
        <w:rPr>
          <w:rFonts w:ascii="Abadi" w:hAnsi="Abadi" w:cs="Arial"/>
          <w:bCs/>
          <w:sz w:val="28"/>
          <w:szCs w:val="28"/>
        </w:rPr>
      </w:pPr>
      <w:r w:rsidRPr="00B23BED">
        <w:rPr>
          <w:rFonts w:ascii="Abadi" w:hAnsi="Abadi" w:cs="Arial"/>
          <w:bCs/>
          <w:sz w:val="28"/>
          <w:szCs w:val="28"/>
        </w:rPr>
        <w:t xml:space="preserve">Este beneficio también debería extenderse a las </w:t>
      </w:r>
      <w:r w:rsidRPr="00B23BED">
        <w:rPr>
          <w:rFonts w:ascii="Abadi" w:hAnsi="Abadi" w:cs="Arial"/>
          <w:b/>
          <w:bCs/>
          <w:sz w:val="28"/>
          <w:szCs w:val="28"/>
        </w:rPr>
        <w:t>transmisiones realizadas a título gratuito</w:t>
      </w:r>
      <w:r w:rsidRPr="00B23BED">
        <w:rPr>
          <w:rFonts w:ascii="Abadi" w:hAnsi="Abadi" w:cs="Arial"/>
          <w:bCs/>
          <w:sz w:val="28"/>
          <w:szCs w:val="28"/>
        </w:rPr>
        <w:t xml:space="preserve"> en favor de personas físicas con discapacidad, de inmuebles que vayan a constituir su </w:t>
      </w:r>
      <w:r w:rsidRPr="00B23BED">
        <w:rPr>
          <w:rFonts w:ascii="Abadi" w:hAnsi="Abadi" w:cs="Arial"/>
          <w:b/>
          <w:bCs/>
          <w:sz w:val="28"/>
          <w:szCs w:val="28"/>
        </w:rPr>
        <w:t>vivienda habitual</w:t>
      </w:r>
      <w:r w:rsidRPr="00B23BED">
        <w:rPr>
          <w:rFonts w:ascii="Abadi" w:hAnsi="Abadi" w:cs="Arial"/>
          <w:bCs/>
          <w:sz w:val="28"/>
          <w:szCs w:val="28"/>
        </w:rPr>
        <w:t xml:space="preserve">, así como a las transmisiones realizadas sin coste a los </w:t>
      </w:r>
      <w:r w:rsidRPr="00B23BED">
        <w:rPr>
          <w:rFonts w:ascii="Abadi" w:hAnsi="Abadi" w:cs="Arial"/>
          <w:b/>
          <w:bCs/>
          <w:sz w:val="28"/>
          <w:szCs w:val="28"/>
        </w:rPr>
        <w:t>patrimonios protegidos de las personas con discapacidad</w:t>
      </w:r>
      <w:r w:rsidRPr="00B23BED">
        <w:rPr>
          <w:rFonts w:ascii="Abadi" w:hAnsi="Abadi" w:cs="Arial"/>
          <w:bCs/>
          <w:sz w:val="28"/>
          <w:szCs w:val="28"/>
        </w:rPr>
        <w:t>, previstos en la Ley 41/2003, de 18 de noviembre.</w:t>
      </w:r>
    </w:p>
    <w:p w14:paraId="6417AF3F" w14:textId="32C0FE5D" w:rsidR="00BF45CF" w:rsidRPr="00B23BED" w:rsidRDefault="00BF45CF" w:rsidP="00BF45CF">
      <w:pPr>
        <w:pStyle w:val="Textoindependiente"/>
        <w:spacing w:line="360" w:lineRule="auto"/>
        <w:ind w:right="-81"/>
        <w:rPr>
          <w:rFonts w:ascii="Abadi" w:hAnsi="Abadi" w:cs="Arial"/>
          <w:bCs/>
          <w:sz w:val="28"/>
          <w:szCs w:val="28"/>
        </w:rPr>
      </w:pPr>
    </w:p>
    <w:p w14:paraId="454498FA" w14:textId="631F7719" w:rsidR="00BF45CF" w:rsidRPr="00B23BED" w:rsidRDefault="00BF45CF" w:rsidP="00BF45CF">
      <w:pPr>
        <w:pStyle w:val="Textoindependiente"/>
        <w:spacing w:line="360" w:lineRule="auto"/>
        <w:ind w:right="-81"/>
        <w:rPr>
          <w:rFonts w:ascii="Abadi" w:hAnsi="Abadi" w:cs="Arial"/>
          <w:bCs/>
          <w:sz w:val="28"/>
          <w:szCs w:val="28"/>
        </w:rPr>
      </w:pPr>
      <w:r w:rsidRPr="00B23BED">
        <w:rPr>
          <w:rFonts w:ascii="Abadi" w:hAnsi="Abadi" w:cs="Arial"/>
          <w:bCs/>
          <w:sz w:val="28"/>
          <w:szCs w:val="28"/>
        </w:rPr>
        <w:t>La tramitación de este Proyecto de Ley ofrece la posibilidad de subsanar esta anomalía conforme a los principios de amparo en el disfrute de los derechos, que preconiza el artículo 49 de la Constitución Española y de justicia y capacidad económica en la configuración del sistema tributario, que resultan del artículo 31, también de la Constitución Española, para lo cual se propone la siguiente enmienda.</w:t>
      </w:r>
    </w:p>
    <w:p w14:paraId="0BF02A38" w14:textId="77777777" w:rsidR="00BF45CF" w:rsidRPr="00B23BED" w:rsidRDefault="00BF45CF" w:rsidP="00BF45CF">
      <w:pPr>
        <w:pStyle w:val="Textoindependiente"/>
        <w:spacing w:line="360" w:lineRule="auto"/>
        <w:ind w:right="-81"/>
        <w:rPr>
          <w:rFonts w:ascii="Abadi" w:hAnsi="Abadi" w:cs="Arial"/>
          <w:bCs/>
          <w:sz w:val="28"/>
          <w:szCs w:val="28"/>
        </w:rPr>
      </w:pPr>
    </w:p>
    <w:p w14:paraId="17905A6C" w14:textId="28654DC0" w:rsidR="00BF45CF" w:rsidRPr="00B23BED" w:rsidRDefault="00BF45CF" w:rsidP="00BF45CF">
      <w:pPr>
        <w:spacing w:after="0" w:line="360" w:lineRule="auto"/>
        <w:jc w:val="both"/>
        <w:rPr>
          <w:rFonts w:ascii="Abadi" w:hAnsi="Abadi"/>
          <w:b/>
          <w:sz w:val="28"/>
          <w:szCs w:val="28"/>
          <w:u w:val="single"/>
          <w:lang w:val="es-ES"/>
        </w:rPr>
      </w:pPr>
      <w:r w:rsidRPr="00B23BED">
        <w:rPr>
          <w:rFonts w:ascii="Abadi" w:hAnsi="Abadi"/>
          <w:b/>
          <w:sz w:val="28"/>
          <w:szCs w:val="28"/>
          <w:u w:val="single"/>
          <w:lang w:val="es-ES"/>
        </w:rPr>
        <w:t>EMIENDA DE ADICIÓN</w:t>
      </w:r>
    </w:p>
    <w:p w14:paraId="4B51C7D4" w14:textId="77777777" w:rsidR="00541FA1" w:rsidRPr="00B23BED" w:rsidRDefault="00541FA1" w:rsidP="00541FA1">
      <w:pPr>
        <w:spacing w:after="0" w:line="360" w:lineRule="auto"/>
        <w:jc w:val="both"/>
        <w:rPr>
          <w:rFonts w:ascii="Abadi" w:hAnsi="Abadi"/>
          <w:sz w:val="28"/>
          <w:szCs w:val="28"/>
          <w:lang w:val="es-ES"/>
        </w:rPr>
      </w:pPr>
    </w:p>
    <w:p w14:paraId="1B6BEE5A" w14:textId="22145F51" w:rsidR="00541FA1" w:rsidRPr="00B23BED" w:rsidRDefault="00541FA1" w:rsidP="00541FA1">
      <w:pPr>
        <w:spacing w:after="0" w:line="360" w:lineRule="auto"/>
        <w:jc w:val="both"/>
        <w:rPr>
          <w:rFonts w:ascii="Abadi" w:hAnsi="Abadi"/>
          <w:sz w:val="28"/>
          <w:szCs w:val="28"/>
          <w:lang w:val="es-ES"/>
        </w:rPr>
      </w:pPr>
      <w:r w:rsidRPr="00B23BED">
        <w:rPr>
          <w:rFonts w:ascii="Abadi" w:hAnsi="Abadi"/>
          <w:sz w:val="28"/>
          <w:szCs w:val="28"/>
          <w:lang w:val="es-ES"/>
        </w:rPr>
        <w:t xml:space="preserve">Se añade un apartado </w:t>
      </w:r>
      <w:r w:rsidR="00030903" w:rsidRPr="00B23BED">
        <w:rPr>
          <w:rFonts w:ascii="Abadi" w:hAnsi="Abadi"/>
          <w:sz w:val="28"/>
          <w:szCs w:val="28"/>
          <w:highlight w:val="yellow"/>
          <w:lang w:val="es-ES"/>
        </w:rPr>
        <w:t>XXX</w:t>
      </w:r>
      <w:r w:rsidRPr="00B23BED">
        <w:rPr>
          <w:rFonts w:ascii="Abadi" w:hAnsi="Abadi"/>
          <w:sz w:val="28"/>
          <w:szCs w:val="28"/>
          <w:highlight w:val="yellow"/>
          <w:lang w:val="es-ES"/>
        </w:rPr>
        <w:t xml:space="preserve"> al Artículo único</w:t>
      </w:r>
      <w:r w:rsidR="00030903" w:rsidRPr="00B23BED">
        <w:rPr>
          <w:rFonts w:ascii="Abadi" w:hAnsi="Abadi"/>
          <w:sz w:val="28"/>
          <w:szCs w:val="28"/>
          <w:lang w:val="es-ES"/>
        </w:rPr>
        <w:t xml:space="preserve"> del </w:t>
      </w:r>
      <w:r w:rsidR="00030903" w:rsidRPr="00B23BED">
        <w:rPr>
          <w:rFonts w:ascii="Abadi" w:hAnsi="Abadi"/>
          <w:sz w:val="28"/>
          <w:szCs w:val="28"/>
          <w:shd w:val="clear" w:color="auto" w:fill="FFFFFF"/>
          <w:lang w:val="es-ES"/>
        </w:rPr>
        <w:t>Proyecto de Ley por el que se adapta el Texto Refundido de la Ley Reguladora de las Haciendas Locales aprobado por el Real Decreto Legislativo 2/2004, de 5 de marzo, a la reciente jurisprudencia del Tribunal Constitucional respecto del Impuesto sobre el Incremento de Valor de los Terrenos de Naturaleza Urbana (procedente del Real Decreto-Ley 26/2021, de 8 de noviembre),</w:t>
      </w:r>
      <w:r w:rsidRPr="00B23BED">
        <w:rPr>
          <w:rFonts w:ascii="Abadi" w:hAnsi="Abadi"/>
          <w:sz w:val="28"/>
          <w:szCs w:val="28"/>
          <w:lang w:val="es-ES"/>
        </w:rPr>
        <w:t xml:space="preserve"> con la siguiente redacción:</w:t>
      </w:r>
    </w:p>
    <w:p w14:paraId="16A3C079" w14:textId="5DF91BE8" w:rsidR="00541FA1" w:rsidRPr="00B23BED" w:rsidRDefault="00541FA1" w:rsidP="00030903">
      <w:pPr>
        <w:spacing w:after="0" w:line="360" w:lineRule="auto"/>
        <w:ind w:left="708"/>
        <w:jc w:val="both"/>
        <w:rPr>
          <w:rFonts w:ascii="Abadi" w:hAnsi="Abadi"/>
          <w:i/>
          <w:iCs/>
          <w:sz w:val="28"/>
          <w:szCs w:val="28"/>
          <w:lang w:val="es-ES"/>
        </w:rPr>
      </w:pPr>
      <w:r w:rsidRPr="00B23BED">
        <w:rPr>
          <w:rFonts w:ascii="Abadi" w:hAnsi="Abadi"/>
          <w:i/>
          <w:iCs/>
          <w:sz w:val="28"/>
          <w:szCs w:val="28"/>
          <w:lang w:val="es-ES"/>
        </w:rPr>
        <w:t>"</w:t>
      </w:r>
      <w:r w:rsidR="00030903" w:rsidRPr="00B23BED">
        <w:rPr>
          <w:rFonts w:ascii="Abadi" w:hAnsi="Abadi"/>
          <w:i/>
          <w:iCs/>
          <w:sz w:val="28"/>
          <w:szCs w:val="28"/>
          <w:highlight w:val="yellow"/>
          <w:lang w:val="es-ES"/>
        </w:rPr>
        <w:t>XXX</w:t>
      </w:r>
      <w:r w:rsidR="00030903" w:rsidRPr="00B23BED">
        <w:rPr>
          <w:rFonts w:ascii="Abadi" w:hAnsi="Abadi"/>
          <w:i/>
          <w:iCs/>
          <w:sz w:val="28"/>
          <w:szCs w:val="28"/>
          <w:lang w:val="es-ES"/>
        </w:rPr>
        <w:t>.</w:t>
      </w:r>
      <w:r w:rsidRPr="00B23BED">
        <w:rPr>
          <w:rFonts w:ascii="Abadi" w:hAnsi="Abadi"/>
          <w:i/>
          <w:iCs/>
          <w:sz w:val="28"/>
          <w:szCs w:val="28"/>
          <w:lang w:val="es-ES"/>
        </w:rPr>
        <w:t xml:space="preserve"> Con efectos desde la entrada en vigor de esta Ley</w:t>
      </w:r>
      <w:r w:rsidR="00F75599">
        <w:rPr>
          <w:rFonts w:ascii="Abadi" w:hAnsi="Abadi"/>
          <w:i/>
          <w:iCs/>
          <w:sz w:val="28"/>
          <w:szCs w:val="28"/>
          <w:lang w:val="es-ES"/>
        </w:rPr>
        <w:t>,</w:t>
      </w:r>
      <w:r w:rsidRPr="00B23BED">
        <w:rPr>
          <w:rFonts w:ascii="Abadi" w:hAnsi="Abadi"/>
          <w:i/>
          <w:iCs/>
          <w:sz w:val="28"/>
          <w:szCs w:val="28"/>
          <w:lang w:val="es-ES"/>
        </w:rPr>
        <w:t xml:space="preserve"> se introducen las siguientes modificaciones en el apartado 1 del artículo 105:</w:t>
      </w:r>
    </w:p>
    <w:p w14:paraId="535019C4" w14:textId="77777777" w:rsidR="00030903" w:rsidRPr="00B23BED" w:rsidRDefault="00030903" w:rsidP="00030903">
      <w:pPr>
        <w:spacing w:after="0" w:line="360" w:lineRule="auto"/>
        <w:ind w:left="708"/>
        <w:jc w:val="both"/>
        <w:rPr>
          <w:rFonts w:ascii="Abadi" w:hAnsi="Abadi"/>
          <w:i/>
          <w:iCs/>
          <w:sz w:val="28"/>
          <w:szCs w:val="28"/>
          <w:lang w:val="es-ES"/>
        </w:rPr>
      </w:pPr>
    </w:p>
    <w:p w14:paraId="231BAA44" w14:textId="42F945F3" w:rsidR="00541FA1" w:rsidRPr="00B23BED" w:rsidRDefault="00541FA1" w:rsidP="00030903">
      <w:pPr>
        <w:spacing w:after="0" w:line="360" w:lineRule="auto"/>
        <w:ind w:left="708"/>
        <w:jc w:val="both"/>
        <w:rPr>
          <w:rFonts w:ascii="Abadi" w:hAnsi="Abadi"/>
          <w:i/>
          <w:iCs/>
          <w:sz w:val="28"/>
          <w:szCs w:val="28"/>
          <w:lang w:val="es-ES"/>
        </w:rPr>
      </w:pPr>
      <w:r w:rsidRPr="00B23BED">
        <w:rPr>
          <w:rFonts w:ascii="Abadi" w:hAnsi="Abadi"/>
          <w:i/>
          <w:iCs/>
          <w:sz w:val="28"/>
          <w:szCs w:val="28"/>
          <w:lang w:val="es-ES"/>
        </w:rPr>
        <w:t>Uno. Se añade una letra d), con la siguiente redacción:</w:t>
      </w:r>
    </w:p>
    <w:p w14:paraId="6FFD5BA2" w14:textId="77777777" w:rsidR="00030903" w:rsidRPr="00B23BED" w:rsidRDefault="00030903" w:rsidP="00030903">
      <w:pPr>
        <w:spacing w:after="0" w:line="360" w:lineRule="auto"/>
        <w:ind w:left="708"/>
        <w:jc w:val="both"/>
        <w:rPr>
          <w:rFonts w:ascii="Abadi" w:hAnsi="Abadi"/>
          <w:i/>
          <w:iCs/>
          <w:sz w:val="28"/>
          <w:szCs w:val="28"/>
          <w:lang w:val="es-ES"/>
        </w:rPr>
      </w:pPr>
    </w:p>
    <w:p w14:paraId="775FB10A" w14:textId="1F4B76B3" w:rsidR="00541FA1" w:rsidRPr="00B23BED" w:rsidRDefault="00541FA1" w:rsidP="00030903">
      <w:pPr>
        <w:spacing w:after="0" w:line="360" w:lineRule="auto"/>
        <w:ind w:left="708"/>
        <w:jc w:val="both"/>
        <w:rPr>
          <w:rFonts w:ascii="Abadi" w:hAnsi="Abadi"/>
          <w:i/>
          <w:iCs/>
          <w:sz w:val="28"/>
          <w:szCs w:val="28"/>
          <w:lang w:val="es-ES"/>
        </w:rPr>
      </w:pPr>
      <w:r w:rsidRPr="00B23BED">
        <w:rPr>
          <w:rFonts w:ascii="Abadi" w:hAnsi="Abadi"/>
          <w:i/>
          <w:iCs/>
          <w:sz w:val="28"/>
          <w:szCs w:val="28"/>
          <w:lang w:val="es-ES"/>
        </w:rPr>
        <w:t>"d) Las transmisiones realizadas por personas físicas con discapacidad, siempre que el importe total obtenido por la transmisión se destine a constituir una renta vitalicia asegurada a su favor, en el plazo de seis meses desde la fecha de transmisión, o se reinvierta en la adquisición o rehabilitación de una vivienda habitual.</w:t>
      </w:r>
    </w:p>
    <w:p w14:paraId="5CE383FD" w14:textId="77777777" w:rsidR="00030903" w:rsidRPr="00B23BED" w:rsidRDefault="00030903" w:rsidP="00030903">
      <w:pPr>
        <w:spacing w:after="0" w:line="360" w:lineRule="auto"/>
        <w:ind w:left="708"/>
        <w:jc w:val="both"/>
        <w:rPr>
          <w:rFonts w:ascii="Abadi" w:hAnsi="Abadi"/>
          <w:i/>
          <w:iCs/>
          <w:sz w:val="28"/>
          <w:szCs w:val="28"/>
          <w:lang w:val="es-ES"/>
        </w:rPr>
      </w:pPr>
    </w:p>
    <w:p w14:paraId="2D17D1A2" w14:textId="184374DC" w:rsidR="00541FA1" w:rsidRPr="00B23BED" w:rsidRDefault="00541FA1" w:rsidP="00030903">
      <w:pPr>
        <w:spacing w:after="0" w:line="360" w:lineRule="auto"/>
        <w:ind w:left="708"/>
        <w:jc w:val="both"/>
        <w:rPr>
          <w:rFonts w:ascii="Abadi" w:hAnsi="Abadi"/>
          <w:i/>
          <w:iCs/>
          <w:sz w:val="28"/>
          <w:szCs w:val="28"/>
          <w:lang w:val="es-ES"/>
        </w:rPr>
      </w:pPr>
      <w:r w:rsidRPr="00B23BED">
        <w:rPr>
          <w:rFonts w:ascii="Abadi" w:hAnsi="Abadi"/>
          <w:i/>
          <w:iCs/>
          <w:sz w:val="28"/>
          <w:szCs w:val="28"/>
          <w:lang w:val="es-ES"/>
        </w:rPr>
        <w:t>Para la aplicación de la exención, se deberán cumplir, además, los requisitos previstos en los Artículos 41.1, 41 bis y 42 del Reglamento del Impuesto sobre la Renta de las Personas Físicas.</w:t>
      </w:r>
    </w:p>
    <w:p w14:paraId="5EB67215" w14:textId="77777777" w:rsidR="00030903" w:rsidRPr="00B23BED" w:rsidRDefault="00030903" w:rsidP="00030903">
      <w:pPr>
        <w:spacing w:after="0" w:line="360" w:lineRule="auto"/>
        <w:ind w:left="708"/>
        <w:jc w:val="both"/>
        <w:rPr>
          <w:rFonts w:ascii="Abadi" w:hAnsi="Abadi"/>
          <w:i/>
          <w:iCs/>
          <w:sz w:val="28"/>
          <w:szCs w:val="28"/>
          <w:lang w:val="es-ES"/>
        </w:rPr>
      </w:pPr>
    </w:p>
    <w:p w14:paraId="05D1F737" w14:textId="67C6DCC4" w:rsidR="00541FA1" w:rsidRPr="00B23BED" w:rsidRDefault="00541FA1" w:rsidP="00030903">
      <w:pPr>
        <w:spacing w:after="0" w:line="360" w:lineRule="auto"/>
        <w:ind w:left="708"/>
        <w:jc w:val="both"/>
        <w:rPr>
          <w:rFonts w:ascii="Abadi" w:hAnsi="Abadi"/>
          <w:i/>
          <w:iCs/>
          <w:sz w:val="28"/>
          <w:szCs w:val="28"/>
          <w:lang w:val="es-ES"/>
        </w:rPr>
      </w:pPr>
      <w:r w:rsidRPr="00B23BED">
        <w:rPr>
          <w:rFonts w:ascii="Abadi" w:hAnsi="Abadi"/>
          <w:i/>
          <w:iCs/>
          <w:sz w:val="28"/>
          <w:szCs w:val="28"/>
          <w:lang w:val="es-ES"/>
        </w:rPr>
        <w:t xml:space="preserve">Respecto al concepto de discapacidad deberá estarse a lo dispuesto en el Apartado 3 del Artículo 60 de la Ley 35/2006, del Impuesto sobre la Renta de las Personas Físicas, de 28 de </w:t>
      </w:r>
      <w:r w:rsidR="00030903" w:rsidRPr="00B23BED">
        <w:rPr>
          <w:rFonts w:ascii="Abadi" w:hAnsi="Abadi"/>
          <w:i/>
          <w:iCs/>
          <w:sz w:val="28"/>
          <w:szCs w:val="28"/>
          <w:lang w:val="es-ES"/>
        </w:rPr>
        <w:t>noviembre</w:t>
      </w:r>
      <w:r w:rsidRPr="00B23BED">
        <w:rPr>
          <w:rFonts w:ascii="Abadi" w:hAnsi="Abadi"/>
          <w:i/>
          <w:iCs/>
          <w:sz w:val="28"/>
          <w:szCs w:val="28"/>
          <w:lang w:val="es-ES"/>
        </w:rPr>
        <w:t xml:space="preserve"> de 2006."</w:t>
      </w:r>
    </w:p>
    <w:p w14:paraId="2BD6D6D8" w14:textId="77777777" w:rsidR="00030903" w:rsidRPr="00B23BED" w:rsidRDefault="00030903" w:rsidP="00030903">
      <w:pPr>
        <w:spacing w:after="0" w:line="360" w:lineRule="auto"/>
        <w:ind w:left="708"/>
        <w:jc w:val="both"/>
        <w:rPr>
          <w:rFonts w:ascii="Abadi" w:hAnsi="Abadi"/>
          <w:i/>
          <w:iCs/>
          <w:sz w:val="28"/>
          <w:szCs w:val="28"/>
          <w:lang w:val="es-ES"/>
        </w:rPr>
      </w:pPr>
    </w:p>
    <w:p w14:paraId="6305B7C5" w14:textId="53103CA5" w:rsidR="00541FA1" w:rsidRPr="00B23BED" w:rsidRDefault="00541FA1" w:rsidP="00030903">
      <w:pPr>
        <w:spacing w:after="0" w:line="360" w:lineRule="auto"/>
        <w:ind w:left="708"/>
        <w:jc w:val="both"/>
        <w:rPr>
          <w:rFonts w:ascii="Abadi" w:hAnsi="Abadi"/>
          <w:i/>
          <w:iCs/>
          <w:sz w:val="28"/>
          <w:szCs w:val="28"/>
          <w:lang w:val="es-ES"/>
        </w:rPr>
      </w:pPr>
      <w:r w:rsidRPr="00B23BED">
        <w:rPr>
          <w:rFonts w:ascii="Abadi" w:hAnsi="Abadi"/>
          <w:i/>
          <w:iCs/>
          <w:sz w:val="28"/>
          <w:szCs w:val="28"/>
          <w:lang w:val="es-ES"/>
        </w:rPr>
        <w:t>Dos. Se añade una letra e), con la siguiente redacción:</w:t>
      </w:r>
    </w:p>
    <w:p w14:paraId="30F35FEE" w14:textId="77777777" w:rsidR="00030903" w:rsidRPr="00B23BED" w:rsidRDefault="00030903" w:rsidP="00030903">
      <w:pPr>
        <w:spacing w:after="0" w:line="360" w:lineRule="auto"/>
        <w:ind w:left="708"/>
        <w:jc w:val="both"/>
        <w:rPr>
          <w:rFonts w:ascii="Abadi" w:hAnsi="Abadi"/>
          <w:i/>
          <w:iCs/>
          <w:sz w:val="28"/>
          <w:szCs w:val="28"/>
          <w:lang w:val="es-ES"/>
        </w:rPr>
      </w:pPr>
    </w:p>
    <w:p w14:paraId="6D67E2A5" w14:textId="03B40D13" w:rsidR="00541FA1" w:rsidRPr="00B23BED" w:rsidRDefault="00541FA1" w:rsidP="00030903">
      <w:pPr>
        <w:spacing w:after="0" w:line="360" w:lineRule="auto"/>
        <w:ind w:left="708"/>
        <w:jc w:val="both"/>
        <w:rPr>
          <w:rFonts w:ascii="Abadi" w:hAnsi="Abadi"/>
          <w:i/>
          <w:iCs/>
          <w:sz w:val="28"/>
          <w:szCs w:val="28"/>
          <w:lang w:val="es-ES"/>
        </w:rPr>
      </w:pPr>
      <w:r w:rsidRPr="00B23BED">
        <w:rPr>
          <w:rFonts w:ascii="Abadi" w:hAnsi="Abadi"/>
          <w:i/>
          <w:iCs/>
          <w:sz w:val="28"/>
          <w:szCs w:val="28"/>
          <w:lang w:val="es-ES"/>
        </w:rPr>
        <w:t>"e) Las transmisiones realizadas a título gratuito a favor de personas físicas con discapacidad, de inmuebles que vayan a constituir su vivienda habitual.</w:t>
      </w:r>
    </w:p>
    <w:p w14:paraId="2D663CB0" w14:textId="77777777" w:rsidR="00030903" w:rsidRPr="00B23BED" w:rsidRDefault="00030903" w:rsidP="00030903">
      <w:pPr>
        <w:spacing w:after="0" w:line="360" w:lineRule="auto"/>
        <w:ind w:left="708"/>
        <w:jc w:val="both"/>
        <w:rPr>
          <w:rFonts w:ascii="Abadi" w:hAnsi="Abadi"/>
          <w:i/>
          <w:iCs/>
          <w:sz w:val="28"/>
          <w:szCs w:val="28"/>
          <w:lang w:val="es-ES"/>
        </w:rPr>
      </w:pPr>
    </w:p>
    <w:p w14:paraId="456ECB3A" w14:textId="4632FAE9" w:rsidR="00541FA1" w:rsidRPr="00B23BED" w:rsidRDefault="00541FA1" w:rsidP="00030903">
      <w:pPr>
        <w:spacing w:after="0" w:line="360" w:lineRule="auto"/>
        <w:ind w:left="708"/>
        <w:jc w:val="both"/>
        <w:rPr>
          <w:rFonts w:ascii="Abadi" w:hAnsi="Abadi"/>
          <w:i/>
          <w:iCs/>
          <w:sz w:val="28"/>
          <w:szCs w:val="28"/>
          <w:lang w:val="es-ES"/>
        </w:rPr>
      </w:pPr>
      <w:r w:rsidRPr="00B23BED">
        <w:rPr>
          <w:rFonts w:ascii="Abadi" w:hAnsi="Abadi"/>
          <w:i/>
          <w:iCs/>
          <w:sz w:val="28"/>
          <w:szCs w:val="28"/>
          <w:lang w:val="es-ES"/>
        </w:rPr>
        <w:t>Respecto al concepto de discapacidad y de vivienda habitual se estará a lo previsto en la Ley y en el Reglamento del Impuesto sobre la Renta de las Personas Físicas."</w:t>
      </w:r>
    </w:p>
    <w:p w14:paraId="2CD0A7B8" w14:textId="77777777" w:rsidR="00030903" w:rsidRPr="00B23BED" w:rsidRDefault="00030903" w:rsidP="00030903">
      <w:pPr>
        <w:spacing w:after="0" w:line="360" w:lineRule="auto"/>
        <w:ind w:left="708"/>
        <w:jc w:val="both"/>
        <w:rPr>
          <w:rFonts w:ascii="Abadi" w:hAnsi="Abadi"/>
          <w:i/>
          <w:iCs/>
          <w:sz w:val="28"/>
          <w:szCs w:val="28"/>
          <w:lang w:val="es-ES"/>
        </w:rPr>
      </w:pPr>
    </w:p>
    <w:p w14:paraId="46775081" w14:textId="5922725B" w:rsidR="00541FA1" w:rsidRPr="00B23BED" w:rsidRDefault="00541FA1" w:rsidP="00030903">
      <w:pPr>
        <w:spacing w:after="0" w:line="360" w:lineRule="auto"/>
        <w:ind w:left="708"/>
        <w:jc w:val="both"/>
        <w:rPr>
          <w:rFonts w:ascii="Abadi" w:hAnsi="Abadi"/>
          <w:i/>
          <w:iCs/>
          <w:sz w:val="28"/>
          <w:szCs w:val="28"/>
          <w:lang w:val="es-ES"/>
        </w:rPr>
      </w:pPr>
      <w:r w:rsidRPr="00B23BED">
        <w:rPr>
          <w:rFonts w:ascii="Abadi" w:hAnsi="Abadi"/>
          <w:i/>
          <w:iCs/>
          <w:sz w:val="28"/>
          <w:szCs w:val="28"/>
          <w:lang w:val="es-ES"/>
        </w:rPr>
        <w:t>Tres. Se añade una letra f), con la siguiente redacción:</w:t>
      </w:r>
    </w:p>
    <w:p w14:paraId="5810CE1C" w14:textId="77777777" w:rsidR="0094452C" w:rsidRPr="00B23BED" w:rsidRDefault="0094452C" w:rsidP="00030903">
      <w:pPr>
        <w:spacing w:after="0" w:line="360" w:lineRule="auto"/>
        <w:ind w:left="708"/>
        <w:jc w:val="both"/>
        <w:rPr>
          <w:rFonts w:ascii="Abadi" w:hAnsi="Abadi"/>
          <w:i/>
          <w:iCs/>
          <w:sz w:val="28"/>
          <w:szCs w:val="28"/>
          <w:lang w:val="es-ES"/>
        </w:rPr>
      </w:pPr>
    </w:p>
    <w:p w14:paraId="6A5835EF" w14:textId="38B08805" w:rsidR="00541FA1" w:rsidRDefault="00541FA1" w:rsidP="00030903">
      <w:pPr>
        <w:spacing w:after="0" w:line="360" w:lineRule="auto"/>
        <w:ind w:left="708"/>
        <w:jc w:val="both"/>
        <w:rPr>
          <w:rFonts w:ascii="Abadi" w:hAnsi="Abadi"/>
          <w:i/>
          <w:iCs/>
          <w:sz w:val="28"/>
          <w:szCs w:val="28"/>
          <w:lang w:val="es-ES"/>
        </w:rPr>
      </w:pPr>
      <w:r w:rsidRPr="00B23BED">
        <w:rPr>
          <w:rFonts w:ascii="Abadi" w:hAnsi="Abadi"/>
          <w:i/>
          <w:iCs/>
          <w:sz w:val="28"/>
          <w:szCs w:val="28"/>
          <w:lang w:val="es-ES"/>
        </w:rPr>
        <w:lastRenderedPageBreak/>
        <w:t>"f) Las transmisiones realizadas a título gratuito a los patrimonios protegidos de las personas con discapacidad, previstos en la Ley 41/2003, de 18 de noviembre."</w:t>
      </w:r>
    </w:p>
    <w:p w14:paraId="675F0181" w14:textId="60FA964A" w:rsidR="00F75599" w:rsidRPr="00F75599" w:rsidRDefault="00F75599" w:rsidP="00F75599">
      <w:pPr>
        <w:spacing w:after="0" w:line="360" w:lineRule="auto"/>
        <w:ind w:left="708"/>
        <w:jc w:val="right"/>
        <w:rPr>
          <w:rFonts w:ascii="Abadi" w:hAnsi="Abadi"/>
          <w:sz w:val="28"/>
          <w:szCs w:val="28"/>
          <w:lang w:val="es-ES"/>
        </w:rPr>
      </w:pPr>
      <w:r w:rsidRPr="00F75599">
        <w:rPr>
          <w:rFonts w:ascii="Abadi" w:hAnsi="Abadi"/>
          <w:sz w:val="28"/>
          <w:szCs w:val="28"/>
          <w:lang w:val="es-ES"/>
        </w:rPr>
        <w:t>20 de diciembre de 2021.</w:t>
      </w:r>
    </w:p>
    <w:p w14:paraId="0864844E" w14:textId="77777777" w:rsidR="00F75599" w:rsidRDefault="00F75599" w:rsidP="00030903">
      <w:pPr>
        <w:spacing w:after="0" w:line="360" w:lineRule="auto"/>
        <w:ind w:left="708"/>
        <w:jc w:val="both"/>
        <w:rPr>
          <w:rFonts w:ascii="Abadi" w:hAnsi="Abadi"/>
          <w:i/>
          <w:iCs/>
          <w:sz w:val="28"/>
          <w:szCs w:val="28"/>
          <w:lang w:val="es-ES"/>
        </w:rPr>
      </w:pPr>
    </w:p>
    <w:p w14:paraId="4B710E00" w14:textId="54DEC37C" w:rsidR="00F75599" w:rsidRPr="00F75599" w:rsidRDefault="00F75599" w:rsidP="00F75599">
      <w:pPr>
        <w:spacing w:after="0" w:line="360" w:lineRule="auto"/>
        <w:ind w:left="708"/>
        <w:jc w:val="center"/>
        <w:rPr>
          <w:rFonts w:ascii="Abadi" w:hAnsi="Abadi"/>
          <w:b/>
          <w:bCs/>
          <w:sz w:val="28"/>
          <w:szCs w:val="28"/>
          <w:lang w:val="es-ES"/>
        </w:rPr>
      </w:pPr>
      <w:r w:rsidRPr="00F75599">
        <w:rPr>
          <w:rFonts w:ascii="Abadi" w:hAnsi="Abadi"/>
          <w:b/>
          <w:bCs/>
          <w:sz w:val="28"/>
          <w:szCs w:val="28"/>
          <w:lang w:val="es-ES"/>
        </w:rPr>
        <w:t>CERMI</w:t>
      </w:r>
    </w:p>
    <w:p w14:paraId="00FE4AC3" w14:textId="724C2F9E" w:rsidR="00F75599" w:rsidRPr="00F75599" w:rsidRDefault="00D27784" w:rsidP="00F75599">
      <w:pPr>
        <w:spacing w:after="0" w:line="360" w:lineRule="auto"/>
        <w:ind w:left="708"/>
        <w:jc w:val="center"/>
        <w:rPr>
          <w:rFonts w:ascii="Abadi" w:hAnsi="Abadi"/>
          <w:b/>
          <w:bCs/>
          <w:sz w:val="28"/>
          <w:szCs w:val="28"/>
          <w:lang w:val="es-ES"/>
        </w:rPr>
      </w:pPr>
      <w:hyperlink r:id="rId7" w:history="1">
        <w:r w:rsidR="00F75599" w:rsidRPr="00F75599">
          <w:rPr>
            <w:rStyle w:val="Hipervnculo"/>
            <w:rFonts w:ascii="Abadi" w:hAnsi="Abadi"/>
            <w:b/>
            <w:bCs/>
            <w:sz w:val="28"/>
            <w:szCs w:val="28"/>
            <w:lang w:val="es-ES"/>
          </w:rPr>
          <w:t>www.cermi.es</w:t>
        </w:r>
      </w:hyperlink>
    </w:p>
    <w:p w14:paraId="74ADBE75" w14:textId="77777777" w:rsidR="00F75599" w:rsidRPr="00B23BED" w:rsidRDefault="00F75599" w:rsidP="00030903">
      <w:pPr>
        <w:spacing w:after="0" w:line="360" w:lineRule="auto"/>
        <w:ind w:left="708"/>
        <w:jc w:val="both"/>
        <w:rPr>
          <w:rFonts w:ascii="Abadi" w:hAnsi="Abadi"/>
          <w:i/>
          <w:iCs/>
          <w:sz w:val="28"/>
          <w:szCs w:val="28"/>
          <w:lang w:val="es-ES"/>
        </w:rPr>
      </w:pPr>
    </w:p>
    <w:p w14:paraId="1C7839E5" w14:textId="77777777" w:rsidR="00541FA1" w:rsidRPr="00B23BED" w:rsidRDefault="00541FA1" w:rsidP="00030903">
      <w:pPr>
        <w:pStyle w:val="Textoindependiente"/>
        <w:spacing w:line="360" w:lineRule="auto"/>
        <w:ind w:left="708" w:right="-81"/>
        <w:rPr>
          <w:rFonts w:ascii="Abadi" w:hAnsi="Abadi" w:cs="Arial"/>
          <w:bCs/>
          <w:i/>
          <w:iCs/>
          <w:sz w:val="28"/>
          <w:szCs w:val="28"/>
        </w:rPr>
      </w:pPr>
    </w:p>
    <w:sectPr w:rsidR="00541FA1" w:rsidRPr="00B23BE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EE896" w14:textId="77777777" w:rsidR="00D27784" w:rsidRDefault="00D27784" w:rsidP="00F75599">
      <w:pPr>
        <w:spacing w:after="0" w:line="240" w:lineRule="auto"/>
      </w:pPr>
      <w:r>
        <w:separator/>
      </w:r>
    </w:p>
  </w:endnote>
  <w:endnote w:type="continuationSeparator" w:id="0">
    <w:p w14:paraId="799D02C1" w14:textId="77777777" w:rsidR="00D27784" w:rsidRDefault="00D27784" w:rsidP="00F75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724626"/>
      <w:docPartObj>
        <w:docPartGallery w:val="Page Numbers (Bottom of Page)"/>
        <w:docPartUnique/>
      </w:docPartObj>
    </w:sdtPr>
    <w:sdtEndPr/>
    <w:sdtContent>
      <w:p w14:paraId="12B93A2B" w14:textId="00DD961B" w:rsidR="00F75599" w:rsidRDefault="00F75599">
        <w:pPr>
          <w:pStyle w:val="Piedepgina"/>
          <w:jc w:val="center"/>
        </w:pPr>
        <w:r>
          <w:fldChar w:fldCharType="begin"/>
        </w:r>
        <w:r>
          <w:instrText>PAGE   \* MERGEFORMAT</w:instrText>
        </w:r>
        <w:r>
          <w:fldChar w:fldCharType="separate"/>
        </w:r>
        <w:r>
          <w:rPr>
            <w:lang w:val="es-ES"/>
          </w:rPr>
          <w:t>2</w:t>
        </w:r>
        <w:r>
          <w:fldChar w:fldCharType="end"/>
        </w:r>
      </w:p>
    </w:sdtContent>
  </w:sdt>
  <w:p w14:paraId="72CF1880" w14:textId="77777777" w:rsidR="00F75599" w:rsidRDefault="00F755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9C6CA" w14:textId="77777777" w:rsidR="00D27784" w:rsidRDefault="00D27784" w:rsidP="00F75599">
      <w:pPr>
        <w:spacing w:after="0" w:line="240" w:lineRule="auto"/>
      </w:pPr>
      <w:r>
        <w:separator/>
      </w:r>
    </w:p>
  </w:footnote>
  <w:footnote w:type="continuationSeparator" w:id="0">
    <w:p w14:paraId="65427F22" w14:textId="77777777" w:rsidR="00D27784" w:rsidRDefault="00D27784" w:rsidP="00F755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5CF"/>
    <w:rsid w:val="00030903"/>
    <w:rsid w:val="001A518F"/>
    <w:rsid w:val="00301EB9"/>
    <w:rsid w:val="003A7FC7"/>
    <w:rsid w:val="00412FCD"/>
    <w:rsid w:val="00541FA1"/>
    <w:rsid w:val="0094452C"/>
    <w:rsid w:val="00B23BED"/>
    <w:rsid w:val="00BF45CF"/>
    <w:rsid w:val="00D27784"/>
    <w:rsid w:val="00F755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443B"/>
  <w15:chartTrackingRefBased/>
  <w15:docId w15:val="{AFDB3F4D-2418-46C1-B965-ECB7B03B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5CF"/>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F45CF"/>
    <w:pPr>
      <w:spacing w:after="0" w:line="240" w:lineRule="auto"/>
      <w:jc w:val="both"/>
    </w:pPr>
    <w:rPr>
      <w:rFonts w:ascii="CG Times" w:eastAsia="Times New Roman" w:hAnsi="CG Times" w:cs="Times New Roman"/>
      <w:sz w:val="24"/>
      <w:szCs w:val="20"/>
      <w:lang w:val="es-ES"/>
    </w:rPr>
  </w:style>
  <w:style w:type="character" w:customStyle="1" w:styleId="TextoindependienteCar">
    <w:name w:val="Texto independiente Car"/>
    <w:basedOn w:val="Fuentedeprrafopredeter"/>
    <w:link w:val="Textoindependiente"/>
    <w:rsid w:val="00BF45CF"/>
    <w:rPr>
      <w:rFonts w:ascii="CG Times" w:eastAsia="Times New Roman" w:hAnsi="CG Times" w:cs="Times New Roman"/>
      <w:sz w:val="24"/>
      <w:szCs w:val="20"/>
    </w:rPr>
  </w:style>
  <w:style w:type="paragraph" w:styleId="Sinespaciado">
    <w:name w:val="No Spacing"/>
    <w:uiPriority w:val="1"/>
    <w:qFormat/>
    <w:rsid w:val="00B23BED"/>
    <w:pPr>
      <w:spacing w:after="0" w:line="240" w:lineRule="auto"/>
    </w:pPr>
    <w:rPr>
      <w:lang w:val="en-US"/>
    </w:rPr>
  </w:style>
  <w:style w:type="character" w:styleId="Hipervnculo">
    <w:name w:val="Hyperlink"/>
    <w:basedOn w:val="Fuentedeprrafopredeter"/>
    <w:uiPriority w:val="99"/>
    <w:unhideWhenUsed/>
    <w:rsid w:val="00F75599"/>
    <w:rPr>
      <w:color w:val="0563C1" w:themeColor="hyperlink"/>
      <w:u w:val="single"/>
    </w:rPr>
  </w:style>
  <w:style w:type="character" w:styleId="Mencinsinresolver">
    <w:name w:val="Unresolved Mention"/>
    <w:basedOn w:val="Fuentedeprrafopredeter"/>
    <w:uiPriority w:val="99"/>
    <w:semiHidden/>
    <w:unhideWhenUsed/>
    <w:rsid w:val="00F75599"/>
    <w:rPr>
      <w:color w:val="605E5C"/>
      <w:shd w:val="clear" w:color="auto" w:fill="E1DFDD"/>
    </w:rPr>
  </w:style>
  <w:style w:type="paragraph" w:styleId="Encabezado">
    <w:name w:val="header"/>
    <w:basedOn w:val="Normal"/>
    <w:link w:val="EncabezadoCar"/>
    <w:uiPriority w:val="99"/>
    <w:unhideWhenUsed/>
    <w:rsid w:val="00F755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5599"/>
    <w:rPr>
      <w:lang w:val="en-US"/>
    </w:rPr>
  </w:style>
  <w:style w:type="paragraph" w:styleId="Piedepgina">
    <w:name w:val="footer"/>
    <w:basedOn w:val="Normal"/>
    <w:link w:val="PiedepginaCar"/>
    <w:uiPriority w:val="99"/>
    <w:unhideWhenUsed/>
    <w:rsid w:val="00F755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559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erm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962</Words>
  <Characters>5295</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Xandra Maria Martinez Gavira (ES)</dc:creator>
  <cp:keywords/>
  <dc:description/>
  <cp:lastModifiedBy>Luis Cayo Pérez Bueno</cp:lastModifiedBy>
  <cp:revision>4</cp:revision>
  <dcterms:created xsi:type="dcterms:W3CDTF">2021-12-20T14:25:00Z</dcterms:created>
  <dcterms:modified xsi:type="dcterms:W3CDTF">2021-12-20T14:44:00Z</dcterms:modified>
</cp:coreProperties>
</file>