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AC3D" w14:textId="77777777" w:rsidR="00CC5F37" w:rsidRDefault="00CC5F37" w:rsidP="00CC5F37">
      <w:pPr>
        <w:jc w:val="center"/>
        <w:rPr>
          <w:b/>
        </w:rPr>
      </w:pPr>
    </w:p>
    <w:p w14:paraId="44E383D1" w14:textId="77777777" w:rsidR="00CC5F37" w:rsidRDefault="00CC5F37" w:rsidP="00CC5F37">
      <w:pPr>
        <w:jc w:val="center"/>
        <w:rPr>
          <w:b/>
        </w:rPr>
      </w:pPr>
    </w:p>
    <w:p w14:paraId="5189868D" w14:textId="2ECF65E7" w:rsidR="00CC5F37" w:rsidRPr="00805D5A" w:rsidRDefault="00CC5F37" w:rsidP="00805D5A">
      <w:pPr>
        <w:jc w:val="center"/>
        <w:rPr>
          <w:rFonts w:ascii="Abadi" w:hAnsi="Abadi"/>
          <w:b/>
          <w:sz w:val="28"/>
          <w:szCs w:val="28"/>
        </w:rPr>
      </w:pPr>
      <w:r w:rsidRPr="00805D5A">
        <w:rPr>
          <w:rFonts w:ascii="Abadi" w:hAnsi="Abadi"/>
          <w:b/>
          <w:sz w:val="28"/>
          <w:szCs w:val="28"/>
        </w:rPr>
        <w:t>COMPARADOR CERMI TERRITORIOS</w:t>
      </w:r>
      <w:r w:rsidR="00805D5A" w:rsidRPr="00805D5A">
        <w:rPr>
          <w:rFonts w:ascii="Abadi" w:hAnsi="Abadi"/>
          <w:b/>
          <w:sz w:val="28"/>
          <w:szCs w:val="28"/>
        </w:rPr>
        <w:t xml:space="preserve"> - </w:t>
      </w:r>
      <w:r w:rsidRPr="00805D5A">
        <w:rPr>
          <w:rFonts w:ascii="Abadi" w:hAnsi="Abadi" w:cs="Arial"/>
          <w:b/>
          <w:sz w:val="28"/>
          <w:szCs w:val="28"/>
        </w:rPr>
        <w:t>Informe de actuaciones 2021</w:t>
      </w:r>
    </w:p>
    <w:p w14:paraId="23FBA82A" w14:textId="02B8F398" w:rsidR="00CC5F37" w:rsidRPr="00805D5A" w:rsidRDefault="00CC5F37" w:rsidP="00CC5F37">
      <w:pPr>
        <w:pStyle w:val="Formal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 xml:space="preserve">El Comparador </w:t>
      </w:r>
      <w:r w:rsidR="006632C1" w:rsidRPr="00805D5A">
        <w:rPr>
          <w:rFonts w:ascii="Abadi" w:hAnsi="Abadi"/>
          <w:lang w:val="es-ES_tradnl"/>
        </w:rPr>
        <w:t xml:space="preserve">CERMI Territorios </w:t>
      </w:r>
      <w:r w:rsidRPr="00805D5A">
        <w:rPr>
          <w:rFonts w:ascii="Abadi" w:hAnsi="Abadi"/>
          <w:lang w:val="es-ES_tradnl"/>
        </w:rPr>
        <w:t xml:space="preserve">es una herramienta </w:t>
      </w:r>
      <w:r w:rsidR="006632C1" w:rsidRPr="00805D5A">
        <w:rPr>
          <w:rFonts w:ascii="Abadi" w:hAnsi="Abadi"/>
          <w:lang w:val="es-ES_tradnl"/>
        </w:rPr>
        <w:t xml:space="preserve">del CERMI </w:t>
      </w:r>
      <w:r w:rsidRPr="00805D5A">
        <w:rPr>
          <w:rFonts w:ascii="Abadi" w:hAnsi="Abadi"/>
          <w:lang w:val="es-ES_tradnl"/>
        </w:rPr>
        <w:t>de consulta en línea que tiene como propósito permitir hacer comparaciones de una serie de indicadores relevantes para la inclusión de personas con discapacidad y sus familias entre las distintas Comunidades y Ciudades Autónomas, para que de forma sintética y ágil permita hacerse una idea de la calidad y grado de desarrollo e intensidad de las políticas públicas territoriales.</w:t>
      </w:r>
    </w:p>
    <w:p w14:paraId="086F1E0A" w14:textId="1DCE8C85" w:rsidR="00CC5F37" w:rsidRPr="00805D5A" w:rsidRDefault="00CC5F37" w:rsidP="00CC5F37">
      <w:pPr>
        <w:pStyle w:val="Formal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El CERMI es la entidad que gestiona el Comparador Cermi Territorios con el propósito de ofrecer información sobre una serie de factores relevantes y significativos para la inclusión de personas con discapacidad y sus familias. La información se clasifica en los siguientes temas:</w:t>
      </w:r>
    </w:p>
    <w:p w14:paraId="29E023C0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Demografía, grandes magnitudes</w:t>
      </w:r>
    </w:p>
    <w:p w14:paraId="16C8467B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Legislación general</w:t>
      </w:r>
    </w:p>
    <w:p w14:paraId="1C44AC56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Gobernanza</w:t>
      </w:r>
    </w:p>
    <w:p w14:paraId="119415F1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Derechos y servicios sociales</w:t>
      </w:r>
    </w:p>
    <w:p w14:paraId="791A88F4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Exclusión / Inclusión social</w:t>
      </w:r>
    </w:p>
    <w:p w14:paraId="0A04E0A5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Mercado laboral</w:t>
      </w:r>
    </w:p>
    <w:p w14:paraId="782AD1E9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Inclusión educativa</w:t>
      </w:r>
    </w:p>
    <w:p w14:paraId="1DC3CBC9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Accesibilidad universal</w:t>
      </w:r>
    </w:p>
    <w:p w14:paraId="7B6DA679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Género</w:t>
      </w:r>
    </w:p>
    <w:p w14:paraId="38986299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Fiscalidad</w:t>
      </w:r>
    </w:p>
    <w:p w14:paraId="490B5E20" w14:textId="77777777" w:rsidR="00CC5F37" w:rsidRPr="00805D5A" w:rsidRDefault="00CC5F37" w:rsidP="00CC5F37">
      <w:pPr>
        <w:pStyle w:val="Prrafodelista"/>
        <w:numPr>
          <w:ilvl w:val="0"/>
          <w:numId w:val="2"/>
        </w:numPr>
        <w:spacing w:before="120" w:line="360" w:lineRule="auto"/>
        <w:rPr>
          <w:rFonts w:ascii="Abadi" w:hAnsi="Abadi"/>
          <w:lang w:val="es-ES_tradnl"/>
        </w:rPr>
      </w:pPr>
      <w:r w:rsidRPr="00805D5A">
        <w:rPr>
          <w:rFonts w:ascii="Abadi" w:hAnsi="Abadi"/>
        </w:rPr>
        <w:t>Salud y atención sanitaria</w:t>
      </w:r>
    </w:p>
    <w:p w14:paraId="5426C398" w14:textId="77777777" w:rsidR="00CC5F37" w:rsidRPr="00805D5A" w:rsidRDefault="00CC5F37" w:rsidP="00CC5F37">
      <w:pPr>
        <w:pStyle w:val="Formal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 xml:space="preserve">El comparador ofrece disponibilidad y actualización continua y se nutre de distintas fuentes oficiales entre las que se encuentran el INE, IMSERSO, Informe Olivenza sobre la situación general de las personas con discapacidad en España (OED) y otros informes y notas publicadas por el Observatorio Estatal de la Discapacidad. Además, se dispone de información actualizada que trasladan los </w:t>
      </w:r>
      <w:proofErr w:type="spellStart"/>
      <w:r w:rsidRPr="00805D5A">
        <w:rPr>
          <w:rFonts w:ascii="Abadi" w:hAnsi="Abadi"/>
          <w:lang w:val="es-ES_tradnl"/>
        </w:rPr>
        <w:t>Cermis</w:t>
      </w:r>
      <w:proofErr w:type="spellEnd"/>
      <w:r w:rsidRPr="00805D5A">
        <w:rPr>
          <w:rFonts w:ascii="Abadi" w:hAnsi="Abadi"/>
          <w:lang w:val="es-ES_tradnl"/>
        </w:rPr>
        <w:t xml:space="preserve"> Autonómicos.</w:t>
      </w:r>
    </w:p>
    <w:p w14:paraId="6E2A937B" w14:textId="6AF96E03" w:rsidR="00CC5F37" w:rsidRPr="00805D5A" w:rsidRDefault="00CC5F37" w:rsidP="00CC5F37">
      <w:pPr>
        <w:pStyle w:val="Formal"/>
        <w:rPr>
          <w:rFonts w:ascii="Abadi" w:hAnsi="Abadi"/>
          <w:lang w:val="es-ES_tradnl"/>
        </w:rPr>
      </w:pPr>
      <w:r w:rsidRPr="00805D5A">
        <w:rPr>
          <w:rFonts w:ascii="Abadi" w:hAnsi="Abadi"/>
          <w:lang w:val="es-ES_tradnl"/>
        </w:rPr>
        <w:t>La herramienta está i</w:t>
      </w:r>
      <w:r w:rsidR="006632C1" w:rsidRPr="00805D5A">
        <w:rPr>
          <w:rFonts w:ascii="Abadi" w:hAnsi="Abadi"/>
          <w:lang w:val="es-ES_tradnl"/>
        </w:rPr>
        <w:t>ncardinada</w:t>
      </w:r>
      <w:r w:rsidRPr="00805D5A">
        <w:rPr>
          <w:rFonts w:ascii="Abadi" w:hAnsi="Abadi"/>
          <w:lang w:val="es-ES_tradnl"/>
        </w:rPr>
        <w:t xml:space="preserve"> en una plataforma web de acceso interno y se puede acceder de forma libre desde la web del CERMI o desde la dirección </w:t>
      </w:r>
      <w:hyperlink r:id="rId7" w:history="1">
        <w:r w:rsidRPr="00805D5A">
          <w:rPr>
            <w:rStyle w:val="Hipervnculo"/>
            <w:rFonts w:ascii="Abadi" w:hAnsi="Abadi"/>
            <w:lang w:val="es-ES_tradnl"/>
          </w:rPr>
          <w:t>http://www.estadisticasocial.es/cermi.php</w:t>
        </w:r>
      </w:hyperlink>
      <w:r w:rsidRPr="00805D5A">
        <w:rPr>
          <w:rFonts w:ascii="Abadi" w:hAnsi="Abadi"/>
          <w:lang w:val="es-ES_tradnl"/>
        </w:rPr>
        <w:t>, de consulta abierta y pública.</w:t>
      </w:r>
    </w:p>
    <w:p w14:paraId="7268B9C9" w14:textId="77777777" w:rsidR="00CC5F37" w:rsidRPr="00805D5A" w:rsidRDefault="00CC5F37" w:rsidP="00CC5F37">
      <w:pPr>
        <w:pStyle w:val="Ttulo1"/>
        <w:rPr>
          <w:rFonts w:ascii="Abadi" w:hAnsi="Abadi"/>
          <w:color w:val="FF6600"/>
        </w:rPr>
      </w:pPr>
      <w:r w:rsidRPr="00805D5A">
        <w:rPr>
          <w:rFonts w:ascii="Abadi" w:hAnsi="Abadi"/>
          <w:color w:val="FF6600"/>
        </w:rPr>
        <w:t>Actuaciones realizadas</w:t>
      </w:r>
    </w:p>
    <w:p w14:paraId="36AC47A3" w14:textId="77777777" w:rsidR="00CC5F37" w:rsidRPr="00805D5A" w:rsidRDefault="00CC5F37" w:rsidP="00CC5F37">
      <w:pPr>
        <w:pStyle w:val="Formal"/>
        <w:rPr>
          <w:rFonts w:ascii="Abadi" w:hAnsi="Abadi"/>
        </w:rPr>
      </w:pPr>
      <w:r w:rsidRPr="00805D5A">
        <w:rPr>
          <w:rFonts w:ascii="Abadi" w:hAnsi="Abadi"/>
        </w:rPr>
        <w:t>En 2021 se han realizado las siguientes actuaciones:</w:t>
      </w:r>
    </w:p>
    <w:p w14:paraId="0A44F62F" w14:textId="77777777" w:rsidR="00CC5F37" w:rsidRPr="00805D5A" w:rsidRDefault="00CC5F37" w:rsidP="00CC5F37">
      <w:pPr>
        <w:pStyle w:val="Prrafodelista"/>
        <w:numPr>
          <w:ilvl w:val="0"/>
          <w:numId w:val="3"/>
        </w:numPr>
        <w:spacing w:before="240" w:line="360" w:lineRule="auto"/>
        <w:rPr>
          <w:rFonts w:ascii="Abadi" w:hAnsi="Abadi"/>
        </w:rPr>
      </w:pPr>
      <w:r w:rsidRPr="00805D5A">
        <w:rPr>
          <w:rFonts w:ascii="Abadi" w:hAnsi="Abadi"/>
        </w:rPr>
        <w:t>Revisión de fuentes secundarias.</w:t>
      </w:r>
    </w:p>
    <w:p w14:paraId="12A524DF" w14:textId="77777777" w:rsidR="00CC5F37" w:rsidRPr="00805D5A" w:rsidRDefault="00CC5F37" w:rsidP="00CC5F37">
      <w:pPr>
        <w:pStyle w:val="Prrafodelista"/>
        <w:numPr>
          <w:ilvl w:val="0"/>
          <w:numId w:val="3"/>
        </w:numPr>
        <w:spacing w:before="240" w:line="360" w:lineRule="auto"/>
        <w:rPr>
          <w:rFonts w:ascii="Abadi" w:hAnsi="Abadi"/>
        </w:rPr>
      </w:pPr>
      <w:r w:rsidRPr="00805D5A">
        <w:rPr>
          <w:rFonts w:ascii="Abadi" w:hAnsi="Abadi"/>
        </w:rPr>
        <w:t>Revisión de los indicadores publicados.</w:t>
      </w:r>
    </w:p>
    <w:p w14:paraId="6484308A" w14:textId="77777777" w:rsidR="00CC5F37" w:rsidRPr="00805D5A" w:rsidRDefault="00CC5F37" w:rsidP="00CC5F37">
      <w:pPr>
        <w:pStyle w:val="Prrafodelista"/>
        <w:numPr>
          <w:ilvl w:val="0"/>
          <w:numId w:val="3"/>
        </w:numPr>
        <w:spacing w:before="240" w:line="360" w:lineRule="auto"/>
        <w:rPr>
          <w:rFonts w:ascii="Abadi" w:hAnsi="Abadi"/>
        </w:rPr>
      </w:pPr>
      <w:r w:rsidRPr="00805D5A">
        <w:rPr>
          <w:rFonts w:ascii="Abadi" w:hAnsi="Abadi"/>
        </w:rPr>
        <w:t>Nueva numeración de los indicadores para facilitar su consulta en web como se muestra a l final de este documento (Comparador CERMI Territorios. Listado de indicadores).</w:t>
      </w:r>
    </w:p>
    <w:p w14:paraId="3E46FA72" w14:textId="77777777" w:rsidR="00CC5F37" w:rsidRPr="00805D5A" w:rsidRDefault="00CC5F37" w:rsidP="00CC5F37">
      <w:pPr>
        <w:pStyle w:val="Prrafodelista"/>
        <w:numPr>
          <w:ilvl w:val="0"/>
          <w:numId w:val="3"/>
        </w:numPr>
        <w:spacing w:before="240" w:line="360" w:lineRule="auto"/>
        <w:rPr>
          <w:rFonts w:ascii="Abadi" w:hAnsi="Abadi"/>
        </w:rPr>
      </w:pPr>
      <w:r w:rsidRPr="00805D5A">
        <w:rPr>
          <w:rFonts w:ascii="Abadi" w:hAnsi="Abadi"/>
        </w:rPr>
        <w:t>Actualización de indicadores.</w:t>
      </w:r>
    </w:p>
    <w:p w14:paraId="4402B8DC" w14:textId="77777777" w:rsidR="00CC5F37" w:rsidRPr="00805D5A" w:rsidRDefault="00CC5F37" w:rsidP="00CC5F37">
      <w:pPr>
        <w:pStyle w:val="Formal"/>
        <w:rPr>
          <w:rFonts w:ascii="Abadi" w:hAnsi="Abadi"/>
        </w:rPr>
      </w:pPr>
      <w:r w:rsidRPr="00805D5A">
        <w:rPr>
          <w:rFonts w:ascii="Abadi" w:hAnsi="Abadi"/>
        </w:rPr>
        <w:t>En el presente año se ha actualizado información relacionada con diversas comunidades autónomas en diferentes indicadores, y de forma global se han actualizado los siguientes indicadores:</w:t>
      </w:r>
    </w:p>
    <w:p w14:paraId="377ABAC5" w14:textId="77777777" w:rsidR="00CC5F37" w:rsidRPr="00805D5A" w:rsidRDefault="00CC5F37" w:rsidP="00CC5F37">
      <w:pPr>
        <w:pStyle w:val="Formal"/>
        <w:numPr>
          <w:ilvl w:val="0"/>
          <w:numId w:val="4"/>
        </w:numPr>
        <w:rPr>
          <w:rFonts w:ascii="Abadi" w:hAnsi="Abadi"/>
        </w:rPr>
      </w:pPr>
      <w:r w:rsidRPr="00805D5A">
        <w:rPr>
          <w:rFonts w:ascii="Abadi" w:hAnsi="Abadi"/>
        </w:rPr>
        <w:t>01.01. Tasa de discapacidad por CA. En su apartado de “Personas con discapacidad administrativamente reconocida”.</w:t>
      </w:r>
    </w:p>
    <w:p w14:paraId="7A5BF227" w14:textId="77777777" w:rsidR="00CC5F37" w:rsidRPr="00805D5A" w:rsidRDefault="00CC5F37" w:rsidP="00CC5F37">
      <w:pPr>
        <w:pStyle w:val="Formal"/>
        <w:numPr>
          <w:ilvl w:val="0"/>
          <w:numId w:val="4"/>
        </w:numPr>
        <w:rPr>
          <w:rFonts w:ascii="Abadi" w:hAnsi="Abadi"/>
        </w:rPr>
      </w:pPr>
      <w:r w:rsidRPr="00805D5A">
        <w:rPr>
          <w:rFonts w:ascii="Abadi" w:hAnsi="Abadi"/>
        </w:rPr>
        <w:t>01.05. Tasa de discapacidad por tipo de deficiencia.</w:t>
      </w:r>
    </w:p>
    <w:p w14:paraId="3465B329" w14:textId="77777777" w:rsidR="00CC5F37" w:rsidRPr="00805D5A" w:rsidRDefault="00CC5F37" w:rsidP="00CC5F37">
      <w:pPr>
        <w:pStyle w:val="Formal"/>
        <w:numPr>
          <w:ilvl w:val="0"/>
          <w:numId w:val="4"/>
        </w:numPr>
        <w:rPr>
          <w:rFonts w:ascii="Abadi" w:hAnsi="Abadi"/>
        </w:rPr>
      </w:pPr>
      <w:r w:rsidRPr="00805D5A">
        <w:rPr>
          <w:rFonts w:ascii="Abadi" w:hAnsi="Abadi"/>
        </w:rPr>
        <w:t>01.06. Personas con grado de discapacidad reconocido.</w:t>
      </w:r>
    </w:p>
    <w:p w14:paraId="3C970270" w14:textId="77777777" w:rsidR="00CC5F37" w:rsidRPr="00805D5A" w:rsidRDefault="00CC5F37" w:rsidP="00CC5F37">
      <w:pPr>
        <w:pStyle w:val="Formal"/>
        <w:rPr>
          <w:rFonts w:ascii="Abadi" w:hAnsi="Abadi"/>
          <w:highlight w:val="yellow"/>
        </w:rPr>
      </w:pPr>
    </w:p>
    <w:p w14:paraId="084554AA" w14:textId="77777777" w:rsidR="00CC5F37" w:rsidRPr="00805D5A" w:rsidRDefault="00CC5F37" w:rsidP="00CC5F37">
      <w:pPr>
        <w:pStyle w:val="Formal"/>
        <w:rPr>
          <w:rFonts w:ascii="Abadi" w:hAnsi="Abadi"/>
        </w:rPr>
      </w:pPr>
      <w:proofErr w:type="gramStart"/>
      <w:r w:rsidRPr="00805D5A">
        <w:rPr>
          <w:rFonts w:ascii="Abadi" w:hAnsi="Abadi"/>
        </w:rPr>
        <w:t>Además</w:t>
      </w:r>
      <w:proofErr w:type="gramEnd"/>
      <w:r w:rsidRPr="00805D5A">
        <w:rPr>
          <w:rFonts w:ascii="Abadi" w:hAnsi="Abadi"/>
        </w:rPr>
        <w:t xml:space="preserve"> se ha actualizado información relacionada con diversas comunidades autónomas en varios indicadores relacionados con:</w:t>
      </w:r>
    </w:p>
    <w:p w14:paraId="66CDA64B" w14:textId="77777777" w:rsidR="00CC5F37" w:rsidRPr="00805D5A" w:rsidRDefault="00CC5F37" w:rsidP="00CC5F37">
      <w:pPr>
        <w:pStyle w:val="Formal"/>
        <w:numPr>
          <w:ilvl w:val="0"/>
          <w:numId w:val="5"/>
        </w:numPr>
        <w:rPr>
          <w:rFonts w:ascii="Abadi" w:hAnsi="Abadi"/>
        </w:rPr>
      </w:pPr>
      <w:r w:rsidRPr="00805D5A">
        <w:rPr>
          <w:rFonts w:ascii="Abadi" w:hAnsi="Abadi"/>
        </w:rPr>
        <w:t>Existencia de legislación en el tramo autonómico del IRPF de interés social. Comunidades Autónomas.</w:t>
      </w:r>
    </w:p>
    <w:p w14:paraId="7A716F59" w14:textId="77777777" w:rsidR="00CC5F37" w:rsidRPr="00805D5A" w:rsidRDefault="00CC5F37" w:rsidP="00CC5F37">
      <w:pPr>
        <w:pStyle w:val="Formal"/>
        <w:numPr>
          <w:ilvl w:val="0"/>
          <w:numId w:val="5"/>
        </w:numPr>
        <w:rPr>
          <w:rFonts w:ascii="Abadi" w:hAnsi="Abadi"/>
        </w:rPr>
      </w:pPr>
      <w:r w:rsidRPr="00805D5A">
        <w:rPr>
          <w:rFonts w:ascii="Abadi" w:hAnsi="Abadi"/>
        </w:rPr>
        <w:t>Gasto público en discapacidad. Año 2018.</w:t>
      </w:r>
    </w:p>
    <w:p w14:paraId="6CC99CF2" w14:textId="77777777" w:rsidR="00CC5F37" w:rsidRPr="00805D5A" w:rsidRDefault="00CC5F37" w:rsidP="00CC5F37">
      <w:pPr>
        <w:pStyle w:val="Formal"/>
        <w:numPr>
          <w:ilvl w:val="0"/>
          <w:numId w:val="5"/>
        </w:numPr>
        <w:rPr>
          <w:rFonts w:ascii="Abadi" w:hAnsi="Abadi"/>
        </w:rPr>
      </w:pPr>
      <w:r w:rsidRPr="00805D5A">
        <w:rPr>
          <w:rFonts w:ascii="Abadi" w:hAnsi="Abadi"/>
        </w:rPr>
        <w:t>Leyes Autonómicas de Servicios Sociales.</w:t>
      </w:r>
    </w:p>
    <w:p w14:paraId="0D96D43F" w14:textId="77777777" w:rsidR="00CC5F37" w:rsidRPr="00805D5A" w:rsidRDefault="00CC5F37" w:rsidP="00CC5F37">
      <w:pPr>
        <w:pStyle w:val="Formal"/>
        <w:numPr>
          <w:ilvl w:val="0"/>
          <w:numId w:val="5"/>
        </w:numPr>
        <w:rPr>
          <w:rFonts w:ascii="Abadi" w:hAnsi="Abadi"/>
        </w:rPr>
      </w:pPr>
      <w:r w:rsidRPr="00805D5A">
        <w:rPr>
          <w:rFonts w:ascii="Abadi" w:hAnsi="Abadi"/>
        </w:rPr>
        <w:t>Existencia de concierto social para la gestión de servicios sociales, abierta a las organizaciones de iniciativa social.</w:t>
      </w:r>
    </w:p>
    <w:p w14:paraId="6E5930C0" w14:textId="77777777" w:rsidR="00CC5F37" w:rsidRPr="00805D5A" w:rsidRDefault="00CC5F37" w:rsidP="00CC5F37">
      <w:pPr>
        <w:pStyle w:val="Formal"/>
        <w:numPr>
          <w:ilvl w:val="0"/>
          <w:numId w:val="5"/>
        </w:numPr>
        <w:rPr>
          <w:rFonts w:ascii="Abadi" w:hAnsi="Abadi"/>
        </w:rPr>
      </w:pPr>
      <w:r w:rsidRPr="00805D5A">
        <w:rPr>
          <w:rFonts w:ascii="Abadi" w:hAnsi="Abadi"/>
        </w:rPr>
        <w:t xml:space="preserve">Existencia de un mecanismo general de acuerdo con la Administración </w:t>
      </w:r>
      <w:r w:rsidRPr="00805D5A">
        <w:rPr>
          <w:rFonts w:ascii="Abadi" w:hAnsi="Abadi"/>
        </w:rPr>
        <w:lastRenderedPageBreak/>
        <w:t>Autonómica para la financiación de servicios para personas con discapacidad.</w:t>
      </w:r>
    </w:p>
    <w:p w14:paraId="6EB03AF8" w14:textId="77777777" w:rsidR="00CC5F37" w:rsidRPr="00805D5A" w:rsidRDefault="00CC5F37" w:rsidP="00CC5F37">
      <w:pPr>
        <w:pStyle w:val="Formal"/>
        <w:numPr>
          <w:ilvl w:val="0"/>
          <w:numId w:val="5"/>
        </w:numPr>
        <w:rPr>
          <w:rFonts w:ascii="Abadi" w:hAnsi="Abadi"/>
        </w:rPr>
      </w:pPr>
      <w:r w:rsidRPr="00805D5A">
        <w:rPr>
          <w:rFonts w:ascii="Abadi" w:hAnsi="Abadi"/>
        </w:rPr>
        <w:t>Leyes Autonómicas de Accesibilidad.</w:t>
      </w:r>
    </w:p>
    <w:p w14:paraId="79D33ACB" w14:textId="77777777" w:rsidR="00CC5F37" w:rsidRPr="00805D5A" w:rsidRDefault="00CC5F37" w:rsidP="00CC5F37">
      <w:pPr>
        <w:pStyle w:val="Formal"/>
        <w:numPr>
          <w:ilvl w:val="0"/>
          <w:numId w:val="5"/>
        </w:numPr>
        <w:rPr>
          <w:rFonts w:ascii="Abadi" w:hAnsi="Abadi"/>
        </w:rPr>
      </w:pPr>
      <w:r w:rsidRPr="00805D5A">
        <w:rPr>
          <w:rFonts w:ascii="Abadi" w:hAnsi="Abadi"/>
        </w:rPr>
        <w:t>Normativa sobre perros de asistencia.</w:t>
      </w:r>
    </w:p>
    <w:p w14:paraId="378383F2" w14:textId="77777777" w:rsidR="00CC5F37" w:rsidRPr="00805D5A" w:rsidRDefault="00CC5F37" w:rsidP="00CC5F37">
      <w:pPr>
        <w:pStyle w:val="Formal"/>
        <w:numPr>
          <w:ilvl w:val="0"/>
          <w:numId w:val="5"/>
        </w:numPr>
        <w:rPr>
          <w:rFonts w:ascii="Abadi" w:hAnsi="Abadi"/>
        </w:rPr>
      </w:pPr>
      <w:r w:rsidRPr="00805D5A">
        <w:rPr>
          <w:rFonts w:ascii="Abadi" w:hAnsi="Abadi"/>
        </w:rPr>
        <w:t>Actuaciones contra la violencia de género en las que se considera a las mujeres y niñas con discapacidad.</w:t>
      </w:r>
    </w:p>
    <w:p w14:paraId="4B699AAD" w14:textId="77777777" w:rsidR="00CC5F37" w:rsidRPr="00805D5A" w:rsidRDefault="00CC5F37" w:rsidP="00CC5F37">
      <w:pPr>
        <w:pStyle w:val="Ttulo1"/>
        <w:rPr>
          <w:rFonts w:ascii="Abadi" w:hAnsi="Abadi"/>
          <w:color w:val="FF6600"/>
        </w:rPr>
      </w:pPr>
      <w:r w:rsidRPr="00805D5A">
        <w:rPr>
          <w:rFonts w:ascii="Abadi" w:hAnsi="Abadi"/>
          <w:color w:val="FF6600"/>
        </w:rPr>
        <w:t>Datos de uso</w:t>
      </w:r>
    </w:p>
    <w:p w14:paraId="2D5FCECB" w14:textId="77777777" w:rsidR="00CC5F37" w:rsidRPr="00805D5A" w:rsidRDefault="00CC5F37" w:rsidP="00CC5F37">
      <w:pPr>
        <w:spacing w:before="240" w:line="276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Desde el 1 de enero hasta el 31 de diciembre se han registrado los siguientes datos:</w:t>
      </w:r>
    </w:p>
    <w:p w14:paraId="4F8D0375" w14:textId="77777777" w:rsidR="00CC5F37" w:rsidRPr="00805D5A" w:rsidRDefault="00CC5F37" w:rsidP="00CC5F37">
      <w:pPr>
        <w:pStyle w:val="Prrafodelista"/>
        <w:numPr>
          <w:ilvl w:val="0"/>
          <w:numId w:val="1"/>
        </w:numPr>
        <w:spacing w:before="120" w:line="360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Número de visitas a la web del Comparador: 3.764</w:t>
      </w:r>
    </w:p>
    <w:p w14:paraId="6FCA84CE" w14:textId="77777777" w:rsidR="00CC5F37" w:rsidRPr="00805D5A" w:rsidRDefault="00CC5F37" w:rsidP="00CC5F37">
      <w:pPr>
        <w:pStyle w:val="Prrafodelista"/>
        <w:numPr>
          <w:ilvl w:val="0"/>
          <w:numId w:val="1"/>
        </w:numPr>
        <w:spacing w:before="120" w:line="360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Número de nuevos usuarios: 636</w:t>
      </w:r>
    </w:p>
    <w:p w14:paraId="4755C2DB" w14:textId="77777777" w:rsidR="00CC5F37" w:rsidRPr="00805D5A" w:rsidRDefault="00CC5F37" w:rsidP="00CC5F37">
      <w:pPr>
        <w:pStyle w:val="Prrafodelista"/>
        <w:numPr>
          <w:ilvl w:val="0"/>
          <w:numId w:val="1"/>
        </w:numPr>
        <w:spacing w:before="120" w:line="360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Duración media de la sesión web: 4,37 minutos</w:t>
      </w:r>
    </w:p>
    <w:p w14:paraId="40211450" w14:textId="77777777" w:rsidR="00CC5F37" w:rsidRPr="00805D5A" w:rsidRDefault="00CC5F37" w:rsidP="00CC5F37">
      <w:pPr>
        <w:pStyle w:val="Prrafodelista"/>
        <w:numPr>
          <w:ilvl w:val="0"/>
          <w:numId w:val="1"/>
        </w:numPr>
        <w:spacing w:before="120" w:line="360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Temas más consultados:</w:t>
      </w:r>
    </w:p>
    <w:p w14:paraId="50152936" w14:textId="77777777" w:rsidR="00CC5F37" w:rsidRPr="00805D5A" w:rsidRDefault="00CC5F37" w:rsidP="00CC5F37">
      <w:pPr>
        <w:pStyle w:val="Prrafodelista"/>
        <w:numPr>
          <w:ilvl w:val="1"/>
          <w:numId w:val="1"/>
        </w:numPr>
        <w:spacing w:before="120" w:line="360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01.01. Tasa de discapacidad por CA.</w:t>
      </w:r>
    </w:p>
    <w:p w14:paraId="56DAE8E3" w14:textId="77777777" w:rsidR="00CC5F37" w:rsidRPr="00805D5A" w:rsidRDefault="00CC5F37" w:rsidP="00CC5F37">
      <w:pPr>
        <w:pStyle w:val="Prrafodelista"/>
        <w:numPr>
          <w:ilvl w:val="1"/>
          <w:numId w:val="1"/>
        </w:numPr>
        <w:spacing w:before="120" w:line="360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02.01. Existencia de legislación general autonómica sobre derechos de las personas con discapacidad.</w:t>
      </w:r>
    </w:p>
    <w:p w14:paraId="2725385D" w14:textId="77777777" w:rsidR="00CC5F37" w:rsidRPr="00805D5A" w:rsidRDefault="00CC5F37" w:rsidP="00CC5F37">
      <w:pPr>
        <w:pStyle w:val="Prrafodelista"/>
        <w:numPr>
          <w:ilvl w:val="1"/>
          <w:numId w:val="1"/>
        </w:numPr>
        <w:spacing w:before="120" w:line="360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08.01. Si la Comunidad Autónoma dispone de ley de accesibilidad y si esta es de última generación.</w:t>
      </w:r>
    </w:p>
    <w:p w14:paraId="59F010D7" w14:textId="77777777" w:rsidR="00CC5F37" w:rsidRPr="00805D5A" w:rsidRDefault="00CC5F37" w:rsidP="00CC5F37">
      <w:pPr>
        <w:pStyle w:val="Prrafodelista"/>
        <w:numPr>
          <w:ilvl w:val="1"/>
          <w:numId w:val="1"/>
        </w:numPr>
        <w:spacing w:before="120" w:line="360" w:lineRule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t>01.04. Tasa de discapacidad por tipo de discapacidad.</w:t>
      </w:r>
    </w:p>
    <w:p w14:paraId="69C2E5C3" w14:textId="77777777" w:rsidR="00CC5F37" w:rsidRPr="00805D5A" w:rsidRDefault="00CC5F37" w:rsidP="00CC5F37">
      <w:pPr>
        <w:spacing w:before="120" w:line="360" w:lineRule="auto"/>
        <w:rPr>
          <w:rFonts w:ascii="Abadi" w:hAnsi="Abadi"/>
          <w:color w:val="000000"/>
        </w:rPr>
      </w:pPr>
    </w:p>
    <w:p w14:paraId="74F56BFD" w14:textId="77777777" w:rsidR="00871F7D" w:rsidRPr="00805D5A" w:rsidRDefault="00871F7D" w:rsidP="00CC5F37">
      <w:pPr>
        <w:spacing w:before="120" w:line="360" w:lineRule="auto"/>
        <w:rPr>
          <w:rFonts w:ascii="Abadi" w:hAnsi="Abadi"/>
          <w:color w:val="000000"/>
        </w:rPr>
      </w:pPr>
    </w:p>
    <w:p w14:paraId="063CB64F" w14:textId="77777777" w:rsidR="00CC5F37" w:rsidRPr="00805D5A" w:rsidRDefault="00CC5F37" w:rsidP="00CC5F37">
      <w:pPr>
        <w:pStyle w:val="Ttulo1"/>
        <w:rPr>
          <w:rFonts w:ascii="Abadi" w:hAnsi="Abadi"/>
          <w:color w:val="FF6600"/>
        </w:rPr>
      </w:pPr>
      <w:r w:rsidRPr="00805D5A">
        <w:rPr>
          <w:rFonts w:ascii="Abadi" w:hAnsi="Abadi"/>
          <w:color w:val="FF6600"/>
        </w:rPr>
        <w:t>Actuaciones propuestas para 2022</w:t>
      </w:r>
    </w:p>
    <w:p w14:paraId="622AAFAB" w14:textId="77777777" w:rsidR="00CC5F37" w:rsidRPr="00805D5A" w:rsidRDefault="00CC5F37" w:rsidP="00CC5F37">
      <w:pPr>
        <w:pStyle w:val="Formal"/>
        <w:numPr>
          <w:ilvl w:val="0"/>
          <w:numId w:val="6"/>
        </w:numPr>
        <w:rPr>
          <w:rFonts w:ascii="Abadi" w:hAnsi="Abadi"/>
        </w:rPr>
      </w:pPr>
      <w:r w:rsidRPr="00805D5A">
        <w:rPr>
          <w:rFonts w:ascii="Abadi" w:hAnsi="Abadi"/>
        </w:rPr>
        <w:t xml:space="preserve">Dotar al Comparador de una actualización permanente dependiente de las disponibilidad de las fuentes de datos oficiales (INE, IMSERSO, </w:t>
      </w:r>
      <w:proofErr w:type="gramStart"/>
      <w:r w:rsidRPr="00805D5A">
        <w:rPr>
          <w:rFonts w:ascii="Abadi" w:hAnsi="Abadi"/>
        </w:rPr>
        <w:t>OED,…</w:t>
      </w:r>
      <w:proofErr w:type="gramEnd"/>
      <w:r w:rsidRPr="00805D5A">
        <w:rPr>
          <w:rFonts w:ascii="Abadi" w:hAnsi="Abadi"/>
        </w:rPr>
        <w:t>).</w:t>
      </w:r>
    </w:p>
    <w:p w14:paraId="1AA20B17" w14:textId="77777777" w:rsidR="00CC5F37" w:rsidRPr="00805D5A" w:rsidRDefault="00CC5F37" w:rsidP="00CC5F37">
      <w:pPr>
        <w:pStyle w:val="Formal"/>
        <w:numPr>
          <w:ilvl w:val="0"/>
          <w:numId w:val="6"/>
        </w:numPr>
        <w:rPr>
          <w:rFonts w:ascii="Abadi" w:hAnsi="Abadi"/>
        </w:rPr>
      </w:pPr>
      <w:r w:rsidRPr="00805D5A">
        <w:rPr>
          <w:rFonts w:ascii="Abadi" w:hAnsi="Abadi"/>
        </w:rPr>
        <w:t>Mantenimiento y hosting del Comparador.</w:t>
      </w:r>
    </w:p>
    <w:p w14:paraId="55902E45" w14:textId="77777777" w:rsidR="00CC5F37" w:rsidRPr="00805D5A" w:rsidRDefault="00CC5F37" w:rsidP="00CC5F37">
      <w:pPr>
        <w:pStyle w:val="Formal"/>
        <w:numPr>
          <w:ilvl w:val="0"/>
          <w:numId w:val="6"/>
        </w:numPr>
        <w:rPr>
          <w:rFonts w:ascii="Abadi" w:hAnsi="Abadi"/>
        </w:rPr>
      </w:pPr>
      <w:r w:rsidRPr="00805D5A">
        <w:rPr>
          <w:rFonts w:ascii="Abadi" w:hAnsi="Abadi"/>
        </w:rPr>
        <w:t>Revisión y actualización del conjunto de indicadores.</w:t>
      </w:r>
    </w:p>
    <w:p w14:paraId="174C00C2" w14:textId="77777777" w:rsidR="00CC5F37" w:rsidRPr="00805D5A" w:rsidRDefault="00CC5F37" w:rsidP="00CC5F37">
      <w:pPr>
        <w:pStyle w:val="Formal"/>
        <w:numPr>
          <w:ilvl w:val="0"/>
          <w:numId w:val="6"/>
        </w:numPr>
        <w:rPr>
          <w:rFonts w:ascii="Abadi" w:hAnsi="Abadi"/>
          <w:lang w:val="es-ES_tradnl"/>
        </w:rPr>
      </w:pPr>
      <w:r w:rsidRPr="00805D5A">
        <w:rPr>
          <w:rFonts w:ascii="Abadi" w:hAnsi="Abadi"/>
        </w:rPr>
        <w:lastRenderedPageBreak/>
        <w:t xml:space="preserve">Programación de nuevos indicadores </w:t>
      </w:r>
      <w:r w:rsidRPr="00805D5A">
        <w:rPr>
          <w:rFonts w:ascii="Abadi" w:hAnsi="Abadi"/>
          <w:lang w:val="es-ES_tradnl"/>
        </w:rPr>
        <w:t>relevantes para la inclusión de personas con discapacidad y sus familias.</w:t>
      </w:r>
    </w:p>
    <w:p w14:paraId="59C5D756" w14:textId="77777777" w:rsidR="00CC5F37" w:rsidRPr="00805D5A" w:rsidRDefault="00CC5F37" w:rsidP="00CC5F37">
      <w:pPr>
        <w:pStyle w:val="Formal"/>
        <w:rPr>
          <w:rFonts w:ascii="Abadi" w:hAnsi="Abadi"/>
        </w:rPr>
      </w:pPr>
    </w:p>
    <w:p w14:paraId="15E2D550" w14:textId="77777777" w:rsidR="00CC5F37" w:rsidRPr="00805D5A" w:rsidRDefault="00CC5F37" w:rsidP="00CC5F37">
      <w:pPr>
        <w:widowControl/>
        <w:adjustRightInd/>
        <w:jc w:val="left"/>
        <w:textAlignment w:val="auto"/>
        <w:rPr>
          <w:rFonts w:ascii="Abadi" w:hAnsi="Abadi"/>
          <w:color w:val="000000"/>
        </w:rPr>
      </w:pPr>
      <w:r w:rsidRPr="00805D5A">
        <w:rPr>
          <w:rFonts w:ascii="Abadi" w:hAnsi="Abadi"/>
          <w:color w:val="000000"/>
        </w:rPr>
        <w:br w:type="page"/>
      </w:r>
    </w:p>
    <w:p w14:paraId="3A1E1416" w14:textId="77777777" w:rsidR="00CC5F37" w:rsidRPr="00805D5A" w:rsidRDefault="00CC5F37" w:rsidP="00CC5F37">
      <w:pPr>
        <w:pStyle w:val="Formal"/>
        <w:jc w:val="center"/>
        <w:rPr>
          <w:rFonts w:ascii="Abadi" w:hAnsi="Abadi"/>
          <w:b/>
          <w:color w:val="1F4E79" w:themeColor="accent1" w:themeShade="80"/>
          <w:sz w:val="32"/>
        </w:rPr>
      </w:pPr>
      <w:r w:rsidRPr="00805D5A">
        <w:rPr>
          <w:rFonts w:ascii="Abadi" w:hAnsi="Abadi"/>
          <w:b/>
          <w:color w:val="1F4E79" w:themeColor="accent1" w:themeShade="80"/>
          <w:sz w:val="32"/>
        </w:rPr>
        <w:lastRenderedPageBreak/>
        <w:t>Listado de indicadores</w:t>
      </w:r>
    </w:p>
    <w:p w14:paraId="2EF56869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01 Demografía, grandes magnitudes.</w:t>
      </w:r>
    </w:p>
    <w:p w14:paraId="17B34483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01.01. Tasa de discapacidad por CA.</w:t>
      </w:r>
    </w:p>
    <w:p w14:paraId="53580A30" w14:textId="77777777" w:rsidR="00CC5F37" w:rsidRPr="00805D5A" w:rsidRDefault="00CC5F37" w:rsidP="00CC5F37">
      <w:pPr>
        <w:pStyle w:val="Formal"/>
        <w:spacing w:before="120" w:after="120"/>
        <w:ind w:firstLine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01.02. Tasa de discapacidad por edad.</w:t>
      </w:r>
    </w:p>
    <w:p w14:paraId="738BC0E8" w14:textId="77777777" w:rsidR="00CC5F37" w:rsidRPr="00805D5A" w:rsidRDefault="00CC5F37" w:rsidP="00CC5F37">
      <w:pPr>
        <w:pStyle w:val="Formal"/>
        <w:spacing w:before="120" w:after="120"/>
        <w:ind w:firstLine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01.03. Tasa de discapacidad por género.</w:t>
      </w:r>
    </w:p>
    <w:p w14:paraId="53746C95" w14:textId="77777777" w:rsidR="00CC5F37" w:rsidRPr="00805D5A" w:rsidRDefault="00CC5F37" w:rsidP="00CC5F37">
      <w:pPr>
        <w:pStyle w:val="Formal"/>
        <w:spacing w:before="120" w:after="120"/>
        <w:ind w:firstLine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01.04. Tasa de discapacidad por tipo de discapacidad.</w:t>
      </w:r>
    </w:p>
    <w:p w14:paraId="347663FA" w14:textId="77777777" w:rsidR="00CC5F37" w:rsidRPr="00805D5A" w:rsidRDefault="00CC5F37" w:rsidP="00CC5F37">
      <w:pPr>
        <w:pStyle w:val="Formal"/>
        <w:spacing w:before="120" w:after="120"/>
        <w:ind w:firstLine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01.05. Tasa de discapacidad por tipo de deficiencia.</w:t>
      </w:r>
    </w:p>
    <w:p w14:paraId="3CE62B1D" w14:textId="77777777" w:rsidR="00CC5F37" w:rsidRPr="00805D5A" w:rsidRDefault="00CC5F37" w:rsidP="00CC5F37">
      <w:pPr>
        <w:pStyle w:val="Formal"/>
        <w:ind w:firstLine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01.06. Personas con grado de discapacidad reconocido.</w:t>
      </w:r>
    </w:p>
    <w:p w14:paraId="6510C156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02 Legislación general</w:t>
      </w:r>
    </w:p>
    <w:p w14:paraId="4ED5FD39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02.01. Existencia de legislación general autonómica sobre derechos de las personas con discapacidad.</w:t>
      </w:r>
    </w:p>
    <w:p w14:paraId="02604CA7" w14:textId="77777777" w:rsidR="00CC5F37" w:rsidRPr="00805D5A" w:rsidRDefault="00CC5F37" w:rsidP="00CC5F37">
      <w:pPr>
        <w:pStyle w:val="Formal"/>
        <w:ind w:firstLine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02.02. Adaptación general de la legislación a la CDPD.</w:t>
      </w:r>
    </w:p>
    <w:p w14:paraId="43694715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02.03. Existencia de legislación en el tramo autonómico del IRPF de interés social.</w:t>
      </w:r>
    </w:p>
    <w:p w14:paraId="38D8D51C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03 Gobernanza</w:t>
      </w:r>
    </w:p>
    <w:p w14:paraId="717473E7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03.01. Existencia de comisión de discapacidad en el parlamento de la CA.</w:t>
      </w:r>
    </w:p>
    <w:p w14:paraId="1B8F51DE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03.02. Existencia de consejo autonómico de discapacidad.</w:t>
      </w:r>
    </w:p>
    <w:p w14:paraId="64446951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03.03. Presencia de la discapacidad organizada del territorio (CERMI REGIONAL) en el consejo autonómico de bienestar social.</w:t>
      </w:r>
    </w:p>
    <w:p w14:paraId="2F89470E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03.04. Existencia de centro directivo específico para las políticas públicas de discapacidad del territorio.</w:t>
      </w:r>
    </w:p>
    <w:p w14:paraId="4077BCE0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03.05. Existencia de líneas de ayudas públicas de la CA para el mantenimiento de las estructuras de las organizaciones de la discapacidad.</w:t>
      </w:r>
    </w:p>
    <w:p w14:paraId="4C95C094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03.06. Aplicación de las cláusulas sociales a favor del sector de la discapacidad.</w:t>
      </w:r>
    </w:p>
    <w:p w14:paraId="2809DA7D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03.07. Existencia de reserva de contratos de la Administración territorial a favor de centros especiales de empleo.</w:t>
      </w:r>
    </w:p>
    <w:p w14:paraId="1D0FB665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03.08. </w:t>
      </w:r>
      <w:proofErr w:type="gramStart"/>
      <w:r w:rsidRPr="00805D5A">
        <w:rPr>
          <w:rFonts w:ascii="Abadi" w:hAnsi="Abadi"/>
          <w:sz w:val="22"/>
          <w:szCs w:val="22"/>
        </w:rPr>
        <w:t>Total</w:t>
      </w:r>
      <w:proofErr w:type="gramEnd"/>
      <w:r w:rsidRPr="00805D5A">
        <w:rPr>
          <w:rFonts w:ascii="Abadi" w:hAnsi="Abadi"/>
          <w:sz w:val="22"/>
          <w:szCs w:val="22"/>
        </w:rPr>
        <w:t xml:space="preserve"> y porcentaje de gasto público en discapacidad.</w:t>
      </w:r>
    </w:p>
    <w:p w14:paraId="7ED4F104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03.09. </w:t>
      </w:r>
      <w:proofErr w:type="gramStart"/>
      <w:r w:rsidRPr="00805D5A">
        <w:rPr>
          <w:rFonts w:ascii="Abadi" w:hAnsi="Abadi"/>
          <w:sz w:val="22"/>
          <w:szCs w:val="22"/>
        </w:rPr>
        <w:t>Total</w:t>
      </w:r>
      <w:proofErr w:type="gramEnd"/>
      <w:r w:rsidRPr="00805D5A">
        <w:rPr>
          <w:rFonts w:ascii="Abadi" w:hAnsi="Abadi"/>
          <w:sz w:val="22"/>
          <w:szCs w:val="22"/>
        </w:rPr>
        <w:t xml:space="preserve"> del gasto per cápita del territorio en políticas sociales y de inclusión.</w:t>
      </w:r>
    </w:p>
    <w:p w14:paraId="4A2F2CB9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lastRenderedPageBreak/>
        <w:t>03.10. Existencia de Ley por la que se crea la Tarjeta acreditativa del Grado de Discapacidad.</w:t>
      </w:r>
    </w:p>
    <w:p w14:paraId="0ED3A23B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04 Derechos y servicios sociales</w:t>
      </w:r>
    </w:p>
    <w:p w14:paraId="68036FEC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04.01. Existencia de Ley Autonómica de Servicios Sociales.</w:t>
      </w:r>
    </w:p>
    <w:p w14:paraId="66E99D4E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04.02. Adaptación específica de la normativa de Servicios Sociales al artículo 19 de la CDPD.</w:t>
      </w:r>
    </w:p>
    <w:p w14:paraId="2B449ABF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04.03. Legislación y edad de referencia sobre Atención Temprana.</w:t>
      </w:r>
    </w:p>
    <w:p w14:paraId="01F149F6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04.04. Existencia de concierto social para la gestión de servicios sociales, abierta a las organizaciones de iniciativa social.</w:t>
      </w:r>
    </w:p>
    <w:p w14:paraId="20AF1B2A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04.05. Mecanismo general de acuerdo con la Administración Autonómica para la financiación de servicios para personas con discapacidad.</w:t>
      </w:r>
    </w:p>
    <w:p w14:paraId="78B1E7F5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04.06. Existencia de copago para el acceso a los derechos y servicios sociales dispensados por la CA.</w:t>
      </w:r>
    </w:p>
    <w:p w14:paraId="5C1CA0B5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04.07. Tiempo de resolución de los reconocimientos de discapacidad.</w:t>
      </w:r>
    </w:p>
    <w:p w14:paraId="514E1F96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04.08. Existencia de cobro de tasa administrativa por procedimiento de reconocimiento del grado.</w:t>
      </w:r>
    </w:p>
    <w:p w14:paraId="3D1EA38C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04.09. Aplicación regular o problemática de la asimilación al 33 % del grado de discapacidad de las situaciones de incapacidad de Seguridad Social e inutilidad de clases pasivas. </w:t>
      </w:r>
    </w:p>
    <w:p w14:paraId="5B74F478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04.10. Personas con grado reconocido oficialmente de discapacidad y dependencia.</w:t>
      </w:r>
    </w:p>
    <w:p w14:paraId="30D38BCB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</w:p>
    <w:p w14:paraId="3EA6A950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</w:p>
    <w:p w14:paraId="1ABA2F3E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05 Exclusión / Inclusión social</w:t>
      </w:r>
    </w:p>
    <w:p w14:paraId="73B31471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05.01. </w:t>
      </w:r>
      <w:proofErr w:type="gramStart"/>
      <w:r w:rsidRPr="00805D5A">
        <w:rPr>
          <w:rFonts w:ascii="Abadi" w:hAnsi="Abadi"/>
          <w:sz w:val="22"/>
          <w:szCs w:val="22"/>
        </w:rPr>
        <w:t>Total</w:t>
      </w:r>
      <w:proofErr w:type="gramEnd"/>
      <w:r w:rsidRPr="00805D5A">
        <w:rPr>
          <w:rFonts w:ascii="Abadi" w:hAnsi="Abadi"/>
          <w:sz w:val="22"/>
          <w:szCs w:val="22"/>
        </w:rPr>
        <w:t xml:space="preserve"> de personas con discapacidad institucionalizadas en recursos sociales segregados.</w:t>
      </w:r>
    </w:p>
    <w:p w14:paraId="382438B9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05.02. Nivel de pobreza de las personas con discapacidad.</w:t>
      </w:r>
    </w:p>
    <w:p w14:paraId="60A0ECD8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05.03. Existencia de renta mínima garantizadas en la CA.</w:t>
      </w:r>
    </w:p>
    <w:p w14:paraId="18AAF9EE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05.04. Existencia de ayudas específicas propias de la CA contra la exclusión para </w:t>
      </w:r>
      <w:r w:rsidRPr="00805D5A">
        <w:rPr>
          <w:rFonts w:ascii="Abadi" w:hAnsi="Abadi"/>
          <w:sz w:val="22"/>
          <w:szCs w:val="22"/>
        </w:rPr>
        <w:lastRenderedPageBreak/>
        <w:t>personas con discapacidad.</w:t>
      </w:r>
    </w:p>
    <w:p w14:paraId="7242E2AB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06 Mercado laboral</w:t>
      </w:r>
    </w:p>
    <w:p w14:paraId="0AFEB7B4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06.01. Tasa de actividad.</w:t>
      </w:r>
    </w:p>
    <w:p w14:paraId="68DA3859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06.02. </w:t>
      </w:r>
      <w:proofErr w:type="gramStart"/>
      <w:r w:rsidRPr="00805D5A">
        <w:rPr>
          <w:rFonts w:ascii="Abadi" w:hAnsi="Abadi"/>
          <w:sz w:val="22"/>
          <w:szCs w:val="22"/>
        </w:rPr>
        <w:t>Total</w:t>
      </w:r>
      <w:proofErr w:type="gramEnd"/>
      <w:r w:rsidRPr="00805D5A">
        <w:rPr>
          <w:rFonts w:ascii="Abadi" w:hAnsi="Abadi"/>
          <w:sz w:val="22"/>
          <w:szCs w:val="22"/>
        </w:rPr>
        <w:t xml:space="preserve"> de centros especiales de empleo en las CCAA.</w:t>
      </w:r>
    </w:p>
    <w:p w14:paraId="16B0A4DF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06.03. </w:t>
      </w:r>
      <w:proofErr w:type="gramStart"/>
      <w:r w:rsidRPr="00805D5A">
        <w:rPr>
          <w:rFonts w:ascii="Abadi" w:hAnsi="Abadi"/>
          <w:sz w:val="22"/>
          <w:szCs w:val="22"/>
        </w:rPr>
        <w:t>Total</w:t>
      </w:r>
      <w:proofErr w:type="gramEnd"/>
      <w:r w:rsidRPr="00805D5A">
        <w:rPr>
          <w:rFonts w:ascii="Abadi" w:hAnsi="Abadi"/>
          <w:sz w:val="22"/>
          <w:szCs w:val="22"/>
        </w:rPr>
        <w:t xml:space="preserve"> de personas con discapacidad que tienen empleo ordinario.</w:t>
      </w:r>
    </w:p>
    <w:p w14:paraId="11B1C021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06.04. Periodo de convocatorias públicas de ayudas para proyectos de empleo y retrasos estructurales.</w:t>
      </w:r>
    </w:p>
    <w:p w14:paraId="6B245F8B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06.05. Tasa de reserva para personas con discapacidad en el empleo público.</w:t>
      </w:r>
    </w:p>
    <w:p w14:paraId="6D72421E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07 Inclusión educativa</w:t>
      </w:r>
    </w:p>
    <w:p w14:paraId="535F6505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07.01. Regulación educativa propia en materia de inclusión educativa.</w:t>
      </w:r>
    </w:p>
    <w:p w14:paraId="0DB34EDB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07.02. Alumnado con discapacidad en todo el sistema educativo de la CA.</w:t>
      </w:r>
    </w:p>
    <w:p w14:paraId="32E4D976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07.03. Alumnado con discapacidad en escolarización ordinaria y en educación especial.</w:t>
      </w:r>
    </w:p>
    <w:p w14:paraId="10775CA9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07.04. Número de centros de educación especial en el territorio.</w:t>
      </w:r>
    </w:p>
    <w:p w14:paraId="4E2A7C3C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08 Accesibilidad universal</w:t>
      </w:r>
    </w:p>
    <w:p w14:paraId="4EECF684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08.01. Si la Comunidad Autónoma dispone de ley de accesibilidad y si esta es de última generación.</w:t>
      </w:r>
    </w:p>
    <w:p w14:paraId="73BA154B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08.02. Si la ley de accesibilidad dispone de entorno construido.</w:t>
      </w:r>
    </w:p>
    <w:p w14:paraId="44CFDB4D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08.03. Si la ley de accesibilidad dispone de transportes.</w:t>
      </w:r>
    </w:p>
    <w:p w14:paraId="751CF8F4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08.04. Si la ley de accesibilidad dispone de tecnologías de la información y la comunicación.</w:t>
      </w:r>
    </w:p>
    <w:p w14:paraId="73879CA0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08.05. Si la ley de accesibilidad dispone de accesibilidad audiovisual (televisión, soportes audiovisuales).</w:t>
      </w:r>
    </w:p>
    <w:p w14:paraId="3490AD39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08.06. Si la ley de accesibilidad dispone de accesibilidad cognitiva.</w:t>
      </w:r>
    </w:p>
    <w:p w14:paraId="2D522A5E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08.07. Si la ley de accesibilidad dispone de relaciones con las administraciones públicas.</w:t>
      </w:r>
    </w:p>
    <w:p w14:paraId="443016A4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08.08. Si la ley de accesibilidad dispone de bienes y servicios a disposición del público.</w:t>
      </w:r>
    </w:p>
    <w:p w14:paraId="03E157CA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lastRenderedPageBreak/>
        <w:t>08.09. Si la legislación autonómica establece límite temporal máximo para que las condiciones de accesibilidad sean exigibles.</w:t>
      </w:r>
    </w:p>
    <w:p w14:paraId="76F19B6C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08.10. Si la legislación autonómica sobre accesibilidad incorpora régimen sancionador y si este se aplica y es efectivo.</w:t>
      </w:r>
    </w:p>
    <w:p w14:paraId="2DE48389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08.11. Porcentaje de reserva a favor de personas con discapacidad en los programas de vivienda social (-y grado de cumplimiento-).</w:t>
      </w:r>
    </w:p>
    <w:p w14:paraId="3296D7A4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08.12. Existencia o no de líneas de financiación autonómica para la mejora de la accesibilidad de edificios y viviendas. </w:t>
      </w:r>
    </w:p>
    <w:p w14:paraId="5FDB833F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08.13. Número de taxis accesibles de las ciudades con más de 50.000 habitantes </w:t>
      </w:r>
      <w:proofErr w:type="gramStart"/>
      <w:r w:rsidRPr="00805D5A">
        <w:rPr>
          <w:rFonts w:ascii="Abadi" w:hAnsi="Abadi"/>
          <w:sz w:val="22"/>
          <w:szCs w:val="22"/>
        </w:rPr>
        <w:t>dela</w:t>
      </w:r>
      <w:proofErr w:type="gramEnd"/>
      <w:r w:rsidRPr="00805D5A">
        <w:rPr>
          <w:rFonts w:ascii="Abadi" w:hAnsi="Abadi"/>
          <w:sz w:val="22"/>
          <w:szCs w:val="22"/>
        </w:rPr>
        <w:t xml:space="preserve"> CA (cumplimiento obligación 5%)</w:t>
      </w:r>
    </w:p>
    <w:p w14:paraId="0346EB78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08.14. Existencia de recursos económicos autonómicos para financiar actuaciones de accesibilidad universal.</w:t>
      </w:r>
    </w:p>
    <w:p w14:paraId="52C41D6E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08.15. Existencia de Ley autonómica de perros de asistencia.</w:t>
      </w:r>
    </w:p>
    <w:p w14:paraId="48A9DFB4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09 Género</w:t>
      </w:r>
    </w:p>
    <w:p w14:paraId="37F7C599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09.01. Estrategias contra la violencia de género notables en relación con las mujeres y niñas con discapacidad.</w:t>
      </w:r>
    </w:p>
    <w:p w14:paraId="376443D1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</w:p>
    <w:p w14:paraId="1C8A7C79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>10 Fiscalidad</w:t>
      </w:r>
    </w:p>
    <w:p w14:paraId="07D5F5BE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>10.01. Medidas fiscales específicas de discapacidad que resulten relevantes.</w:t>
      </w:r>
    </w:p>
    <w:p w14:paraId="36412DF3" w14:textId="77777777" w:rsidR="00CC5F37" w:rsidRPr="00805D5A" w:rsidRDefault="00CC5F37" w:rsidP="00CC5F37">
      <w:pPr>
        <w:pStyle w:val="Formal"/>
        <w:rPr>
          <w:rFonts w:ascii="Abadi" w:hAnsi="Abadi"/>
          <w:b/>
          <w:sz w:val="22"/>
          <w:szCs w:val="22"/>
        </w:rPr>
      </w:pPr>
      <w:r w:rsidRPr="00805D5A">
        <w:rPr>
          <w:rFonts w:ascii="Abadi" w:hAnsi="Abadi"/>
          <w:b/>
          <w:sz w:val="22"/>
          <w:szCs w:val="22"/>
        </w:rPr>
        <w:t xml:space="preserve">11 Salud y atención sanitaria </w:t>
      </w:r>
    </w:p>
    <w:p w14:paraId="2C275A39" w14:textId="52B68B0F" w:rsidR="00CC5F37" w:rsidRPr="00805D5A" w:rsidRDefault="00CC5F37" w:rsidP="00805D5A">
      <w:pPr>
        <w:pStyle w:val="Formal"/>
        <w:ind w:left="426"/>
        <w:rPr>
          <w:rFonts w:ascii="Abadi" w:hAnsi="Abadi"/>
          <w:sz w:val="22"/>
          <w:szCs w:val="22"/>
        </w:rPr>
      </w:pPr>
      <w:r w:rsidRPr="00805D5A">
        <w:rPr>
          <w:rFonts w:ascii="Abadi" w:hAnsi="Abadi"/>
          <w:sz w:val="22"/>
          <w:szCs w:val="22"/>
        </w:rPr>
        <w:t xml:space="preserve">11.01. Mención de las estrategias de salud específicas de la discapacidad existentes en el territorio (salud mental, enfermedades raras, daño cerebral sobrevenido, etc.). </w:t>
      </w:r>
    </w:p>
    <w:p w14:paraId="7CBD0C6D" w14:textId="77777777" w:rsidR="00CC5F37" w:rsidRPr="00805D5A" w:rsidRDefault="00CC5F37" w:rsidP="00CC5F37">
      <w:pPr>
        <w:pStyle w:val="Formal"/>
        <w:ind w:left="426"/>
        <w:rPr>
          <w:rFonts w:ascii="Abadi" w:hAnsi="Abadi"/>
          <w:sz w:val="22"/>
          <w:szCs w:val="22"/>
        </w:rPr>
      </w:pPr>
    </w:p>
    <w:p w14:paraId="7B92BBFD" w14:textId="18C51D6C" w:rsidR="00CC5F37" w:rsidRPr="00805D5A" w:rsidRDefault="006632C1" w:rsidP="00CC5F37">
      <w:pPr>
        <w:spacing w:before="120"/>
        <w:jc w:val="right"/>
        <w:rPr>
          <w:rFonts w:ascii="Abadi" w:hAnsi="Abadi"/>
          <w:iCs/>
          <w:color w:val="000000"/>
          <w:sz w:val="22"/>
          <w:lang w:val="es-ES_tradnl"/>
        </w:rPr>
      </w:pPr>
      <w:r w:rsidRPr="00805D5A">
        <w:rPr>
          <w:rFonts w:ascii="Abadi" w:hAnsi="Abadi"/>
          <w:iCs/>
          <w:color w:val="000000"/>
          <w:sz w:val="22"/>
          <w:lang w:val="es-ES_tradnl"/>
        </w:rPr>
        <w:t xml:space="preserve">31 de </w:t>
      </w:r>
      <w:r w:rsidR="00CC5F37" w:rsidRPr="00805D5A">
        <w:rPr>
          <w:rFonts w:ascii="Abadi" w:hAnsi="Abadi"/>
          <w:iCs/>
          <w:color w:val="000000"/>
          <w:sz w:val="22"/>
          <w:lang w:val="es-ES_tradnl"/>
        </w:rPr>
        <w:t>diciembre de 2021</w:t>
      </w:r>
      <w:r w:rsidRPr="00805D5A">
        <w:rPr>
          <w:rFonts w:ascii="Abadi" w:hAnsi="Abadi"/>
          <w:iCs/>
          <w:color w:val="000000"/>
          <w:sz w:val="22"/>
          <w:lang w:val="es-ES_tradnl"/>
        </w:rPr>
        <w:t>.</w:t>
      </w:r>
    </w:p>
    <w:p w14:paraId="4742C5A2" w14:textId="77777777" w:rsidR="00CC5F37" w:rsidRPr="00805D5A" w:rsidRDefault="00CC5F37" w:rsidP="00CC5F37">
      <w:pPr>
        <w:pStyle w:val="Formal"/>
        <w:rPr>
          <w:rFonts w:ascii="Abadi" w:hAnsi="Abadi"/>
          <w:sz w:val="22"/>
          <w:szCs w:val="22"/>
          <w:lang w:val="es-ES_tradnl"/>
        </w:rPr>
      </w:pPr>
    </w:p>
    <w:p w14:paraId="67A4A0E8" w14:textId="77777777" w:rsidR="00DC48E9" w:rsidRPr="00805D5A" w:rsidRDefault="00DC48E9">
      <w:pPr>
        <w:rPr>
          <w:rFonts w:ascii="Abadi" w:hAnsi="Abadi"/>
        </w:rPr>
      </w:pPr>
    </w:p>
    <w:sectPr w:rsidR="00DC48E9" w:rsidRPr="00805D5A" w:rsidSect="00CC5F37">
      <w:headerReference w:type="default" r:id="rId8"/>
      <w:footerReference w:type="default" r:id="rId9"/>
      <w:headerReference w:type="first" r:id="rId10"/>
      <w:pgSz w:w="11906" w:h="16838"/>
      <w:pgMar w:top="2268" w:right="1418" w:bottom="1418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7AF7" w14:textId="77777777" w:rsidR="00886896" w:rsidRDefault="00886896" w:rsidP="00CC5F37">
      <w:r>
        <w:separator/>
      </w:r>
    </w:p>
  </w:endnote>
  <w:endnote w:type="continuationSeparator" w:id="0">
    <w:p w14:paraId="3229F9BE" w14:textId="77777777" w:rsidR="00886896" w:rsidRDefault="00886896" w:rsidP="00CC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2D9C" w14:textId="77777777" w:rsidR="00647811" w:rsidRPr="001626A3" w:rsidRDefault="00341B2C" w:rsidP="004B4D26">
    <w:pPr>
      <w:pStyle w:val="Piedepgina"/>
      <w:tabs>
        <w:tab w:val="clear" w:pos="8504"/>
        <w:tab w:val="right" w:pos="8503"/>
      </w:tabs>
      <w:jc w:val="right"/>
      <w:rPr>
        <w:i/>
        <w:sz w:val="20"/>
      </w:rPr>
    </w:pPr>
    <w:r w:rsidRPr="001626A3">
      <w:rPr>
        <w:i/>
        <w:sz w:val="20"/>
      </w:rPr>
      <w:t xml:space="preserve">Página </w:t>
    </w:r>
    <w:r w:rsidRPr="001626A3">
      <w:rPr>
        <w:i/>
        <w:sz w:val="20"/>
      </w:rPr>
      <w:fldChar w:fldCharType="begin"/>
    </w:r>
    <w:r w:rsidRPr="001626A3">
      <w:rPr>
        <w:i/>
        <w:sz w:val="20"/>
      </w:rPr>
      <w:instrText xml:space="preserve"> PAGE </w:instrText>
    </w:r>
    <w:r w:rsidRPr="001626A3">
      <w:rPr>
        <w:i/>
        <w:sz w:val="20"/>
      </w:rPr>
      <w:fldChar w:fldCharType="separate"/>
    </w:r>
    <w:r w:rsidR="00871F7D">
      <w:rPr>
        <w:i/>
        <w:noProof/>
        <w:sz w:val="20"/>
      </w:rPr>
      <w:t>9</w:t>
    </w:r>
    <w:r w:rsidRPr="001626A3">
      <w:rPr>
        <w:i/>
        <w:sz w:val="20"/>
      </w:rPr>
      <w:fldChar w:fldCharType="end"/>
    </w:r>
    <w:r w:rsidRPr="001626A3">
      <w:rPr>
        <w:i/>
        <w:sz w:val="20"/>
      </w:rPr>
      <w:t xml:space="preserve"> de </w:t>
    </w:r>
    <w:r w:rsidRPr="001626A3">
      <w:rPr>
        <w:i/>
        <w:sz w:val="20"/>
      </w:rPr>
      <w:fldChar w:fldCharType="begin"/>
    </w:r>
    <w:r w:rsidRPr="001626A3">
      <w:rPr>
        <w:i/>
        <w:sz w:val="20"/>
      </w:rPr>
      <w:instrText xml:space="preserve"> NUMPAGES </w:instrText>
    </w:r>
    <w:r w:rsidRPr="001626A3">
      <w:rPr>
        <w:i/>
        <w:sz w:val="20"/>
      </w:rPr>
      <w:fldChar w:fldCharType="separate"/>
    </w:r>
    <w:r w:rsidR="00871F7D">
      <w:rPr>
        <w:i/>
        <w:noProof/>
        <w:sz w:val="20"/>
      </w:rPr>
      <w:t>9</w:t>
    </w:r>
    <w:r w:rsidRPr="001626A3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01E8" w14:textId="77777777" w:rsidR="00886896" w:rsidRDefault="00886896" w:rsidP="00CC5F37">
      <w:r>
        <w:separator/>
      </w:r>
    </w:p>
  </w:footnote>
  <w:footnote w:type="continuationSeparator" w:id="0">
    <w:p w14:paraId="0233AA3F" w14:textId="77777777" w:rsidR="00886896" w:rsidRDefault="00886896" w:rsidP="00CC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459D" w14:textId="77777777" w:rsidR="00647811" w:rsidRDefault="00886896" w:rsidP="00E13DDA">
    <w:pPr>
      <w:pStyle w:val="Encabezado"/>
      <w:tabs>
        <w:tab w:val="clear" w:pos="4252"/>
        <w:tab w:val="clear" w:pos="8504"/>
        <w:tab w:val="left" w:pos="40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AC9F" w14:textId="77777777" w:rsidR="00CC5F37" w:rsidRDefault="00CC5F37">
    <w:pPr>
      <w:pStyle w:val="Encabezado"/>
    </w:pPr>
    <w:r w:rsidRPr="00E13DDA">
      <w:rPr>
        <w:noProof/>
      </w:rPr>
      <w:drawing>
        <wp:anchor distT="0" distB="0" distL="114300" distR="114300" simplePos="0" relativeHeight="251659264" behindDoc="0" locked="0" layoutInCell="1" allowOverlap="1" wp14:anchorId="3831DB32" wp14:editId="6BB2E654">
          <wp:simplePos x="0" y="0"/>
          <wp:positionH relativeFrom="margin">
            <wp:posOffset>1600200</wp:posOffset>
          </wp:positionH>
          <wp:positionV relativeFrom="paragraph">
            <wp:posOffset>-314325</wp:posOffset>
          </wp:positionV>
          <wp:extent cx="1524000" cy="991235"/>
          <wp:effectExtent l="0" t="0" r="0" b="0"/>
          <wp:wrapSquare wrapText="bothSides"/>
          <wp:docPr id="2" name="Imagen 2" descr="LOGOTIPO 25 ANIVERSARIO CERM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lonso\Comité Español de Representantes de Personas con Discapacidad\Red Cermi - CALIDAD\LOGOTIPOS CERMI\LOGO 25º\Logo 25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0FC"/>
    <w:multiLevelType w:val="hybridMultilevel"/>
    <w:tmpl w:val="88B88C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F57"/>
    <w:multiLevelType w:val="hybridMultilevel"/>
    <w:tmpl w:val="82E87E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E8C"/>
    <w:multiLevelType w:val="hybridMultilevel"/>
    <w:tmpl w:val="0FF23712"/>
    <w:lvl w:ilvl="0" w:tplc="DBB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304E"/>
    <w:multiLevelType w:val="hybridMultilevel"/>
    <w:tmpl w:val="A80A24F6"/>
    <w:lvl w:ilvl="0" w:tplc="C5C25116">
      <w:start w:val="3"/>
      <w:numFmt w:val="bullet"/>
      <w:lvlText w:val="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6472"/>
    <w:multiLevelType w:val="hybridMultilevel"/>
    <w:tmpl w:val="7A2AFCC4"/>
    <w:lvl w:ilvl="0" w:tplc="DBB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20FE"/>
    <w:multiLevelType w:val="hybridMultilevel"/>
    <w:tmpl w:val="BEF44666"/>
    <w:lvl w:ilvl="0" w:tplc="DBB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37"/>
    <w:rsid w:val="00341B2C"/>
    <w:rsid w:val="006632C1"/>
    <w:rsid w:val="00805D5A"/>
    <w:rsid w:val="00865691"/>
    <w:rsid w:val="00871F7D"/>
    <w:rsid w:val="00886896"/>
    <w:rsid w:val="00CC5F37"/>
    <w:rsid w:val="00DC48E9"/>
    <w:rsid w:val="00D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F0B7"/>
  <w15:chartTrackingRefBased/>
  <w15:docId w15:val="{E4A2E474-A5C2-4343-AB5A-A2B70AD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37"/>
    <w:pPr>
      <w:widowControl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5F37"/>
    <w:pPr>
      <w:keepNext/>
      <w:spacing w:before="480" w:after="120"/>
      <w:outlineLvl w:val="0"/>
    </w:pPr>
    <w:rPr>
      <w:b/>
      <w:bCs/>
      <w:color w:val="EF7F00"/>
      <w:kern w:val="28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5F37"/>
    <w:rPr>
      <w:rFonts w:ascii="Century Gothic" w:eastAsia="Times New Roman" w:hAnsi="Century Gothic" w:cs="Times New Roman"/>
      <w:b/>
      <w:bCs/>
      <w:color w:val="EF7F00"/>
      <w:kern w:val="28"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C5F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F37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customStyle="1" w:styleId="Formal">
    <w:name w:val="Formal"/>
    <w:basedOn w:val="Normal"/>
    <w:link w:val="FormalCar"/>
    <w:qFormat/>
    <w:rsid w:val="00CC5F37"/>
    <w:pPr>
      <w:spacing w:before="240" w:line="300" w:lineRule="auto"/>
    </w:pPr>
    <w:rPr>
      <w:rFonts w:cs="Arial"/>
    </w:rPr>
  </w:style>
  <w:style w:type="character" w:customStyle="1" w:styleId="FormalCar">
    <w:name w:val="Formal Car"/>
    <w:basedOn w:val="Fuentedeprrafopredeter"/>
    <w:link w:val="Formal"/>
    <w:rsid w:val="00CC5F37"/>
    <w:rPr>
      <w:rFonts w:ascii="Century Gothic" w:eastAsia="Times New Roman" w:hAnsi="Century Gothic" w:cs="Arial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CC5F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C5F37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eastAsia="Calibri"/>
      <w:szCs w:val="22"/>
      <w:lang w:eastAsia="en-US"/>
    </w:rPr>
  </w:style>
  <w:style w:type="paragraph" w:styleId="Piedepgina">
    <w:name w:val="footer"/>
    <w:basedOn w:val="Normal"/>
    <w:link w:val="PiedepginaCar"/>
    <w:rsid w:val="00CC5F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5F37"/>
    <w:rPr>
      <w:rFonts w:ascii="Century Gothic" w:eastAsia="Times New Roman" w:hAnsi="Century Gothic" w:cs="Times New Roman"/>
      <w:sz w:val="24"/>
      <w:szCs w:val="20"/>
      <w:lang w:eastAsia="es-ES"/>
    </w:rPr>
  </w:style>
  <w:style w:type="character" w:customStyle="1" w:styleId="TtuloCar">
    <w:name w:val="Título Car"/>
    <w:rsid w:val="00CC5F37"/>
    <w:rPr>
      <w:rFonts w:ascii="Century Gothic" w:hAnsi="Century Gothic" w:cs="Arial"/>
      <w:b/>
      <w:color w:val="FF6600"/>
      <w:sz w:val="28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tadisticasocial.es/cermi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Luis Cayo Pérez Bueno</cp:lastModifiedBy>
  <cp:revision>3</cp:revision>
  <dcterms:created xsi:type="dcterms:W3CDTF">2022-01-23T16:12:00Z</dcterms:created>
  <dcterms:modified xsi:type="dcterms:W3CDTF">2022-01-23T16:13:00Z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