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8065" w14:textId="24CA9ED0" w:rsidR="00C934B7" w:rsidRDefault="00C934B7" w:rsidP="00C934B7">
      <w:pPr>
        <w:pStyle w:val="Sinespaciado"/>
        <w:pBdr>
          <w:bottom w:val="single" w:sz="12" w:space="1" w:color="auto"/>
        </w:pBdr>
        <w:jc w:val="center"/>
        <w:rPr>
          <w:rFonts w:ascii="Abadi" w:hAnsi="Abadi"/>
          <w:b/>
          <w:bCs/>
          <w:sz w:val="28"/>
          <w:szCs w:val="28"/>
        </w:rPr>
      </w:pPr>
      <w:r>
        <w:rPr>
          <w:rFonts w:ascii="Abadi" w:hAnsi="Abadi"/>
          <w:b/>
          <w:bCs/>
          <w:noProof/>
          <w:sz w:val="28"/>
          <w:szCs w:val="28"/>
        </w:rPr>
        <w:drawing>
          <wp:inline distT="0" distB="0" distL="0" distR="0" wp14:anchorId="29868C65" wp14:editId="02377686">
            <wp:extent cx="1862137" cy="1209336"/>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339" cy="1213364"/>
                    </a:xfrm>
                    <a:prstGeom prst="rect">
                      <a:avLst/>
                    </a:prstGeom>
                    <a:noFill/>
                  </pic:spPr>
                </pic:pic>
              </a:graphicData>
            </a:graphic>
          </wp:inline>
        </w:drawing>
      </w:r>
    </w:p>
    <w:p w14:paraId="0C3B6AE2" w14:textId="77777777" w:rsidR="00C934B7" w:rsidRDefault="00C934B7" w:rsidP="00C934B7">
      <w:pPr>
        <w:pStyle w:val="Sinespaciado"/>
        <w:pBdr>
          <w:bottom w:val="single" w:sz="12" w:space="1" w:color="auto"/>
        </w:pBdr>
        <w:jc w:val="center"/>
        <w:rPr>
          <w:rFonts w:ascii="Abadi" w:hAnsi="Abadi"/>
          <w:b/>
          <w:bCs/>
          <w:sz w:val="28"/>
          <w:szCs w:val="28"/>
        </w:rPr>
      </w:pPr>
    </w:p>
    <w:p w14:paraId="628D8AAF" w14:textId="061EE889" w:rsidR="00B971B2" w:rsidRPr="00B971B2" w:rsidRDefault="00B971B2" w:rsidP="00B971B2">
      <w:pPr>
        <w:pStyle w:val="Sinespaciado"/>
        <w:pBdr>
          <w:bottom w:val="single" w:sz="12" w:space="1" w:color="auto"/>
        </w:pBdr>
        <w:jc w:val="both"/>
        <w:rPr>
          <w:rFonts w:ascii="Abadi" w:hAnsi="Abadi"/>
          <w:b/>
          <w:bCs/>
          <w:sz w:val="28"/>
          <w:szCs w:val="28"/>
        </w:rPr>
      </w:pPr>
      <w:r w:rsidRPr="00B971B2">
        <w:rPr>
          <w:rFonts w:ascii="Abadi" w:hAnsi="Abadi"/>
          <w:b/>
          <w:bCs/>
          <w:sz w:val="28"/>
          <w:szCs w:val="28"/>
        </w:rPr>
        <w:t xml:space="preserve">Informe del CERMI de contenidos de discapacidad y accesibilidad de la </w:t>
      </w:r>
      <w:r w:rsidRPr="00B971B2">
        <w:rPr>
          <w:rFonts w:ascii="Abadi" w:hAnsi="Abadi"/>
          <w:b/>
          <w:bCs/>
          <w:sz w:val="28"/>
          <w:szCs w:val="28"/>
        </w:rPr>
        <w:t>Ley 4/2022, de 25 de febrero, de protección de los consumidores y usuarios</w:t>
      </w:r>
      <w:r w:rsidRPr="00B971B2">
        <w:rPr>
          <w:rFonts w:ascii="Abadi" w:hAnsi="Abadi"/>
          <w:b/>
          <w:bCs/>
          <w:sz w:val="28"/>
          <w:szCs w:val="28"/>
        </w:rPr>
        <w:t xml:space="preserve"> </w:t>
      </w:r>
      <w:r w:rsidRPr="00B971B2">
        <w:rPr>
          <w:rFonts w:ascii="Abadi" w:hAnsi="Abadi"/>
          <w:b/>
          <w:bCs/>
          <w:sz w:val="28"/>
          <w:szCs w:val="28"/>
        </w:rPr>
        <w:t>frente a situaciones de vulnerabilidad social y económica</w:t>
      </w:r>
    </w:p>
    <w:p w14:paraId="17F5554C" w14:textId="39D61336" w:rsidR="00B971B2" w:rsidRDefault="00B971B2" w:rsidP="00B971B2">
      <w:pPr>
        <w:pStyle w:val="Sinespaciado"/>
        <w:jc w:val="both"/>
        <w:rPr>
          <w:rFonts w:ascii="Abadi" w:hAnsi="Abadi"/>
          <w:b/>
          <w:bCs/>
          <w:sz w:val="28"/>
          <w:szCs w:val="28"/>
        </w:rPr>
      </w:pPr>
    </w:p>
    <w:p w14:paraId="0D5AAC69" w14:textId="7712D7FC" w:rsidR="00B971B2" w:rsidRDefault="00B971B2" w:rsidP="00B971B2">
      <w:pPr>
        <w:pStyle w:val="Sinespaciado"/>
        <w:jc w:val="both"/>
        <w:rPr>
          <w:rFonts w:ascii="Abadi" w:hAnsi="Abadi"/>
          <w:sz w:val="28"/>
          <w:szCs w:val="28"/>
        </w:rPr>
      </w:pPr>
      <w:r w:rsidRPr="00B971B2">
        <w:rPr>
          <w:rFonts w:ascii="Abadi" w:hAnsi="Abadi"/>
          <w:sz w:val="28"/>
          <w:szCs w:val="28"/>
        </w:rPr>
        <w:t xml:space="preserve">El pasado día 1 de marzo </w:t>
      </w:r>
      <w:r>
        <w:rPr>
          <w:rFonts w:ascii="Abadi" w:hAnsi="Abadi"/>
          <w:sz w:val="28"/>
          <w:szCs w:val="28"/>
        </w:rPr>
        <w:t xml:space="preserve">de 2022, </w:t>
      </w:r>
      <w:r w:rsidRPr="00B971B2">
        <w:rPr>
          <w:rFonts w:ascii="Abadi" w:hAnsi="Abadi"/>
          <w:sz w:val="28"/>
          <w:szCs w:val="28"/>
        </w:rPr>
        <w:t xml:space="preserve">el Boletín Oficial del Estado publicaba la </w:t>
      </w:r>
      <w:r w:rsidRPr="00B971B2">
        <w:rPr>
          <w:rFonts w:ascii="Abadi" w:hAnsi="Abadi"/>
          <w:sz w:val="28"/>
          <w:szCs w:val="28"/>
        </w:rPr>
        <w:t>Ley 4/2022, de 25 de febrero, de protección de los consumidores y usuarios</w:t>
      </w:r>
      <w:r>
        <w:rPr>
          <w:rFonts w:ascii="Abadi" w:hAnsi="Abadi"/>
          <w:sz w:val="28"/>
          <w:szCs w:val="28"/>
        </w:rPr>
        <w:t xml:space="preserve"> </w:t>
      </w:r>
      <w:r w:rsidRPr="00B971B2">
        <w:rPr>
          <w:rFonts w:ascii="Abadi" w:hAnsi="Abadi"/>
          <w:sz w:val="28"/>
          <w:szCs w:val="28"/>
        </w:rPr>
        <w:t>frente a situaciones de vulnerabilidad social y económica</w:t>
      </w:r>
      <w:r>
        <w:rPr>
          <w:rFonts w:ascii="Abadi" w:hAnsi="Abadi"/>
          <w:sz w:val="28"/>
          <w:szCs w:val="28"/>
        </w:rPr>
        <w:t xml:space="preserve"> (</w:t>
      </w:r>
      <w:hyperlink r:id="rId7" w:history="1">
        <w:r w:rsidRPr="00A629F3">
          <w:rPr>
            <w:rStyle w:val="Hipervnculo"/>
            <w:rFonts w:ascii="Abadi" w:hAnsi="Abadi"/>
            <w:sz w:val="28"/>
            <w:szCs w:val="28"/>
          </w:rPr>
          <w:t>https://www.boe.es/boe/dias/2022/03/01/pdfs/BOE-A-2022-3198.pdf</w:t>
        </w:r>
      </w:hyperlink>
      <w:r>
        <w:rPr>
          <w:rFonts w:ascii="Abadi" w:hAnsi="Abadi"/>
          <w:sz w:val="28"/>
          <w:szCs w:val="28"/>
        </w:rPr>
        <w:t xml:space="preserve">), texto legal que contiene diversos preceptos regulatorios favorables a las personas con discapacidad en su condición de consumidoras y usuarias de bienes, productos y servicios, debidas a la acción propositiva y de incidencia del CERMI, asumidas por el Legislador. En este informe se recopilan </w:t>
      </w:r>
      <w:r w:rsidR="00C934B7">
        <w:rPr>
          <w:rFonts w:ascii="Abadi" w:hAnsi="Abadi"/>
          <w:sz w:val="28"/>
          <w:szCs w:val="28"/>
        </w:rPr>
        <w:t>y explican las más relevantes.</w:t>
      </w:r>
    </w:p>
    <w:p w14:paraId="26D743D7" w14:textId="77777777" w:rsidR="00B922FC" w:rsidRDefault="00B922FC" w:rsidP="00B922FC">
      <w:pPr>
        <w:pStyle w:val="Sinespaciado"/>
        <w:jc w:val="both"/>
        <w:rPr>
          <w:rFonts w:ascii="Abadi" w:hAnsi="Abadi"/>
          <w:sz w:val="28"/>
          <w:szCs w:val="28"/>
        </w:rPr>
      </w:pPr>
    </w:p>
    <w:p w14:paraId="54407429" w14:textId="6B1E80F2" w:rsidR="00B922FC" w:rsidRPr="00B922FC" w:rsidRDefault="00B922FC" w:rsidP="00B922FC">
      <w:pPr>
        <w:pStyle w:val="Sinespaciado"/>
        <w:jc w:val="both"/>
        <w:rPr>
          <w:rFonts w:ascii="Abadi" w:hAnsi="Abadi"/>
          <w:sz w:val="28"/>
          <w:szCs w:val="28"/>
        </w:rPr>
      </w:pPr>
      <w:r>
        <w:rPr>
          <w:rFonts w:ascii="Abadi" w:hAnsi="Abadi"/>
          <w:sz w:val="28"/>
          <w:szCs w:val="28"/>
        </w:rPr>
        <w:t xml:space="preserve">Así, la nueva Ley, que ya ha entrado en vigor, </w:t>
      </w:r>
      <w:r w:rsidRPr="00B922FC">
        <w:rPr>
          <w:rFonts w:ascii="Abadi" w:hAnsi="Abadi"/>
          <w:sz w:val="28"/>
          <w:szCs w:val="28"/>
        </w:rPr>
        <w:t xml:space="preserve">incorpora una disposición adicional </w:t>
      </w:r>
      <w:r>
        <w:rPr>
          <w:rFonts w:ascii="Abadi" w:hAnsi="Abadi"/>
          <w:sz w:val="28"/>
          <w:szCs w:val="28"/>
        </w:rPr>
        <w:t xml:space="preserve">primera </w:t>
      </w:r>
      <w:r w:rsidRPr="00B922FC">
        <w:rPr>
          <w:rFonts w:ascii="Abadi" w:hAnsi="Abadi"/>
          <w:sz w:val="28"/>
          <w:szCs w:val="28"/>
        </w:rPr>
        <w:t>sobre etiquetado inclusivo,</w:t>
      </w:r>
      <w:r w:rsidR="00DC008F">
        <w:rPr>
          <w:rFonts w:ascii="Abadi" w:hAnsi="Abadi"/>
          <w:sz w:val="28"/>
          <w:szCs w:val="28"/>
        </w:rPr>
        <w:t xml:space="preserve"> </w:t>
      </w:r>
      <w:r w:rsidRPr="00B922FC">
        <w:rPr>
          <w:rFonts w:ascii="Abadi" w:hAnsi="Abadi"/>
          <w:sz w:val="28"/>
          <w:szCs w:val="28"/>
        </w:rPr>
        <w:t>que establece que “el Gobierno, en el plazo de un año desde la entrada en vigor de esta ley, desarrollará reglamentariamente un etiquetado en alfabeto braille, así como en otros formatos que garanticen la accesibilidad universal de aquellos bienes y productos de consumo de especial relevancia para la protección de la seguridad, integridad y calidad de vida, especialmente de las personas ciegas y con discapacidad visual como personas consumidoras vulnerables”.</w:t>
      </w:r>
    </w:p>
    <w:p w14:paraId="47B53085" w14:textId="77777777" w:rsidR="00B922FC" w:rsidRPr="00B922FC" w:rsidRDefault="00B922FC" w:rsidP="00B922FC">
      <w:pPr>
        <w:pStyle w:val="Sinespaciado"/>
        <w:jc w:val="both"/>
        <w:rPr>
          <w:rFonts w:ascii="Abadi" w:hAnsi="Abadi"/>
          <w:sz w:val="28"/>
          <w:szCs w:val="28"/>
        </w:rPr>
      </w:pPr>
    </w:p>
    <w:p w14:paraId="0D13402D" w14:textId="77777777" w:rsidR="00B922FC" w:rsidRPr="00B922FC" w:rsidRDefault="00B922FC" w:rsidP="00B922FC">
      <w:pPr>
        <w:pStyle w:val="Sinespaciado"/>
        <w:jc w:val="both"/>
        <w:rPr>
          <w:rFonts w:ascii="Abadi" w:hAnsi="Abadi"/>
          <w:sz w:val="28"/>
          <w:szCs w:val="28"/>
        </w:rPr>
      </w:pPr>
      <w:r w:rsidRPr="00B922FC">
        <w:rPr>
          <w:rFonts w:ascii="Abadi" w:hAnsi="Abadi"/>
          <w:sz w:val="28"/>
          <w:szCs w:val="28"/>
        </w:rPr>
        <w:t>Llega así al ordenamiento jurídico por vez primera el deber de incluir el braille al etiquetado de productos de consumo, para lo cual el Gobierno deberá aprobar un real decreto de desarrollo, en el que se determinarán el tipo de bienes afectados y las condiciones en que deberá efectuarse, todo ello en el plazo de un año desde la entrada en vigor.</w:t>
      </w:r>
    </w:p>
    <w:p w14:paraId="3691BA5E" w14:textId="77777777" w:rsidR="00B922FC" w:rsidRPr="00B922FC" w:rsidRDefault="00B922FC" w:rsidP="00B922FC">
      <w:pPr>
        <w:pStyle w:val="Sinespaciado"/>
        <w:jc w:val="both"/>
        <w:rPr>
          <w:rFonts w:ascii="Abadi" w:hAnsi="Abadi"/>
          <w:sz w:val="28"/>
          <w:szCs w:val="28"/>
        </w:rPr>
      </w:pPr>
    </w:p>
    <w:p w14:paraId="1C743FDA" w14:textId="7C376E22" w:rsidR="00B922FC" w:rsidRPr="00B922FC" w:rsidRDefault="00B922FC" w:rsidP="00B922FC">
      <w:pPr>
        <w:jc w:val="both"/>
        <w:rPr>
          <w:rFonts w:ascii="Abadi" w:hAnsi="Abadi"/>
          <w:sz w:val="28"/>
          <w:szCs w:val="28"/>
        </w:rPr>
      </w:pPr>
      <w:r w:rsidRPr="00B922FC">
        <w:rPr>
          <w:rFonts w:ascii="Abadi" w:hAnsi="Abadi"/>
          <w:sz w:val="28"/>
          <w:szCs w:val="28"/>
        </w:rPr>
        <w:t>Para elaborar el proyecto de real decreto que ordena la Ley, el ministerio de Consumo y el CERMI, con la participación de la ONCE, van a constituir un grupo de trabajo que avance en la preparación de la norma reglamentaria.</w:t>
      </w:r>
    </w:p>
    <w:p w14:paraId="6C1D7B95" w14:textId="7589167E" w:rsidR="00B971B2" w:rsidRDefault="00B971B2" w:rsidP="00B922FC">
      <w:pPr>
        <w:pStyle w:val="Sinespaciado"/>
        <w:jc w:val="both"/>
        <w:rPr>
          <w:rFonts w:ascii="Abadi" w:hAnsi="Abadi"/>
          <w:sz w:val="28"/>
          <w:szCs w:val="28"/>
        </w:rPr>
      </w:pPr>
    </w:p>
    <w:p w14:paraId="0AB97E02" w14:textId="77777777" w:rsidR="00C05D8C" w:rsidRDefault="005638AD" w:rsidP="00B971B2">
      <w:pPr>
        <w:pStyle w:val="Sinespaciado"/>
        <w:jc w:val="both"/>
        <w:rPr>
          <w:rFonts w:ascii="Abadi" w:hAnsi="Abadi"/>
          <w:sz w:val="28"/>
          <w:szCs w:val="28"/>
        </w:rPr>
      </w:pPr>
      <w:r>
        <w:rPr>
          <w:rFonts w:ascii="Abadi" w:hAnsi="Abadi"/>
          <w:sz w:val="28"/>
          <w:szCs w:val="28"/>
        </w:rPr>
        <w:lastRenderedPageBreak/>
        <w:t xml:space="preserve">Con carácter general, la nueva Ley estable normativamente el concepto de consumidor vulnerable, definición en la que se incluye expresamente a las personas con discapacidad, dotándolos de una protección reforzada. Más allá de la posición económica de debilidad del consumidor, que era la que tradicionalmente se tenía en cuenta en materia de consumo, ahora la noción </w:t>
      </w:r>
      <w:r w:rsidR="00C05D8C">
        <w:rPr>
          <w:rFonts w:ascii="Abadi" w:hAnsi="Abadi"/>
          <w:sz w:val="28"/>
          <w:szCs w:val="28"/>
        </w:rPr>
        <w:t xml:space="preserve">de vulnerabilidad se reconfigura y </w:t>
      </w:r>
      <w:r>
        <w:rPr>
          <w:rFonts w:ascii="Abadi" w:hAnsi="Abadi"/>
          <w:sz w:val="28"/>
          <w:szCs w:val="28"/>
        </w:rPr>
        <w:t xml:space="preserve">se amplía a otras situaciones </w:t>
      </w:r>
      <w:r w:rsidR="00C05D8C">
        <w:rPr>
          <w:rFonts w:ascii="Abadi" w:hAnsi="Abadi"/>
          <w:sz w:val="28"/>
          <w:szCs w:val="28"/>
        </w:rPr>
        <w:t>de fragilidad personal y social que convierten a una variedad de tipos de consumidores en vulnerables.</w:t>
      </w:r>
    </w:p>
    <w:p w14:paraId="3CB107FA" w14:textId="77777777" w:rsidR="00C05D8C" w:rsidRDefault="00C05D8C" w:rsidP="00B971B2">
      <w:pPr>
        <w:pStyle w:val="Sinespaciado"/>
        <w:jc w:val="both"/>
        <w:rPr>
          <w:rFonts w:ascii="Abadi" w:hAnsi="Abadi"/>
          <w:sz w:val="28"/>
          <w:szCs w:val="28"/>
        </w:rPr>
      </w:pPr>
    </w:p>
    <w:p w14:paraId="64ABC6D9" w14:textId="572C1ED6" w:rsidR="00B971B2" w:rsidRDefault="00C05D8C" w:rsidP="00C05D8C">
      <w:pPr>
        <w:pStyle w:val="Sinespaciado"/>
        <w:jc w:val="both"/>
        <w:rPr>
          <w:rFonts w:ascii="Abadi" w:hAnsi="Abadi"/>
          <w:sz w:val="28"/>
          <w:szCs w:val="28"/>
        </w:rPr>
      </w:pPr>
      <w:r>
        <w:rPr>
          <w:rFonts w:ascii="Abadi" w:hAnsi="Abadi"/>
          <w:sz w:val="28"/>
          <w:szCs w:val="28"/>
        </w:rPr>
        <w:t>La discapacidad es una condición que la Ley considera reiteradamente, a efectos de conferir mayor defensa y protección. Incluso, dentro de la discapacidad, se identifican segmentos más vulnerables, como las mujeres</w:t>
      </w:r>
      <w:r w:rsidR="00C30E57">
        <w:rPr>
          <w:rFonts w:ascii="Abadi" w:hAnsi="Abadi"/>
          <w:sz w:val="28"/>
          <w:szCs w:val="28"/>
        </w:rPr>
        <w:t>. Ejemplo de esta consideración particular, viene recogido en el preámbulo de la Ley, que enuncia:</w:t>
      </w:r>
      <w:r>
        <w:rPr>
          <w:rFonts w:ascii="Abadi" w:hAnsi="Abadi"/>
          <w:sz w:val="28"/>
          <w:szCs w:val="28"/>
        </w:rPr>
        <w:t xml:space="preserve"> </w:t>
      </w:r>
      <w:r w:rsidR="00C30E57">
        <w:rPr>
          <w:rFonts w:ascii="Abadi" w:hAnsi="Abadi"/>
          <w:sz w:val="28"/>
          <w:szCs w:val="28"/>
        </w:rPr>
        <w:t>“</w:t>
      </w:r>
      <w:r w:rsidRPr="00C05D8C">
        <w:rPr>
          <w:rFonts w:ascii="Abadi" w:hAnsi="Abadi"/>
          <w:sz w:val="28"/>
          <w:szCs w:val="28"/>
        </w:rPr>
        <w:t>A la edad y al género debe asociarse igualmente la</w:t>
      </w:r>
      <w:r>
        <w:rPr>
          <w:rFonts w:ascii="Abadi" w:hAnsi="Abadi"/>
          <w:sz w:val="28"/>
          <w:szCs w:val="28"/>
        </w:rPr>
        <w:t xml:space="preserve"> </w:t>
      </w:r>
      <w:r w:rsidRPr="00C05D8C">
        <w:rPr>
          <w:rFonts w:ascii="Abadi" w:hAnsi="Abadi"/>
          <w:sz w:val="28"/>
          <w:szCs w:val="28"/>
        </w:rPr>
        <w:t>discapacidad que, en los supuestos de personas mayores y, especialmente, de mujeres</w:t>
      </w:r>
      <w:r>
        <w:rPr>
          <w:rFonts w:ascii="Abadi" w:hAnsi="Abadi"/>
          <w:sz w:val="28"/>
          <w:szCs w:val="28"/>
        </w:rPr>
        <w:t xml:space="preserve"> </w:t>
      </w:r>
      <w:r w:rsidRPr="00C05D8C">
        <w:rPr>
          <w:rFonts w:ascii="Abadi" w:hAnsi="Abadi"/>
          <w:sz w:val="28"/>
          <w:szCs w:val="28"/>
        </w:rPr>
        <w:t>mayores, agrava la situación de vulnerabilidad, aumentando el riesgo de exclusión. En el</w:t>
      </w:r>
      <w:r>
        <w:rPr>
          <w:rFonts w:ascii="Abadi" w:hAnsi="Abadi"/>
          <w:sz w:val="28"/>
          <w:szCs w:val="28"/>
        </w:rPr>
        <w:t xml:space="preserve"> </w:t>
      </w:r>
      <w:r w:rsidRPr="00C05D8C">
        <w:rPr>
          <w:rFonts w:ascii="Abadi" w:hAnsi="Abadi"/>
          <w:sz w:val="28"/>
          <w:szCs w:val="28"/>
        </w:rPr>
        <w:t>caso de las mujeres con discapacidad, nuevamente, el riesgo de exclusión es</w:t>
      </w:r>
      <w:r>
        <w:rPr>
          <w:rFonts w:ascii="Abadi" w:hAnsi="Abadi"/>
          <w:sz w:val="28"/>
          <w:szCs w:val="28"/>
        </w:rPr>
        <w:t xml:space="preserve"> </w:t>
      </w:r>
      <w:r w:rsidRPr="00C05D8C">
        <w:rPr>
          <w:rFonts w:ascii="Abadi" w:hAnsi="Abadi"/>
          <w:sz w:val="28"/>
          <w:szCs w:val="28"/>
        </w:rPr>
        <w:t>acusadamente mayor</w:t>
      </w:r>
      <w:r w:rsidR="00C30E57">
        <w:rPr>
          <w:rFonts w:ascii="Abadi" w:hAnsi="Abadi"/>
          <w:sz w:val="28"/>
          <w:szCs w:val="28"/>
        </w:rPr>
        <w:t>”.</w:t>
      </w:r>
    </w:p>
    <w:p w14:paraId="52A7E463" w14:textId="57CBF622" w:rsidR="00C30E57" w:rsidRDefault="00C30E57" w:rsidP="00C05D8C">
      <w:pPr>
        <w:pStyle w:val="Sinespaciado"/>
        <w:jc w:val="both"/>
        <w:rPr>
          <w:rFonts w:ascii="Abadi" w:hAnsi="Abadi"/>
          <w:sz w:val="28"/>
          <w:szCs w:val="28"/>
        </w:rPr>
      </w:pPr>
    </w:p>
    <w:p w14:paraId="46AE5DFA" w14:textId="6341E07A" w:rsidR="002B6440" w:rsidRDefault="002B6440" w:rsidP="00C05D8C">
      <w:pPr>
        <w:pStyle w:val="Sinespaciado"/>
        <w:jc w:val="both"/>
        <w:rPr>
          <w:rFonts w:ascii="Abadi" w:hAnsi="Abadi"/>
          <w:sz w:val="28"/>
          <w:szCs w:val="28"/>
        </w:rPr>
      </w:pPr>
      <w:r>
        <w:rPr>
          <w:rFonts w:ascii="Abadi" w:hAnsi="Abadi"/>
          <w:sz w:val="28"/>
          <w:szCs w:val="28"/>
        </w:rPr>
        <w:t xml:space="preserve">También las personas con discapacidad </w:t>
      </w:r>
      <w:r w:rsidR="00610571">
        <w:rPr>
          <w:rFonts w:ascii="Abadi" w:hAnsi="Abadi"/>
          <w:sz w:val="28"/>
          <w:szCs w:val="28"/>
        </w:rPr>
        <w:t>aparecen en la Ley 4/2022 como destinatarias, junto a las personas mayores, de las nuevas medidas establecidas en favor de la inclusión financiera, dado el grave problema de discriminación y desatención que vienen soportando estos grupos sociales en el acceso a los servicios financieros, en especial, los bancarios.</w:t>
      </w:r>
    </w:p>
    <w:p w14:paraId="1032B85F" w14:textId="77777777" w:rsidR="002B6440" w:rsidRDefault="002B6440" w:rsidP="00C05D8C">
      <w:pPr>
        <w:pStyle w:val="Sinespaciado"/>
        <w:jc w:val="both"/>
        <w:rPr>
          <w:rFonts w:ascii="Abadi" w:hAnsi="Abadi"/>
          <w:sz w:val="28"/>
          <w:szCs w:val="28"/>
        </w:rPr>
      </w:pPr>
    </w:p>
    <w:p w14:paraId="5A099DD0" w14:textId="463B4250" w:rsidR="002B6440" w:rsidRPr="002B6440" w:rsidRDefault="00610571" w:rsidP="002B6440">
      <w:pPr>
        <w:pStyle w:val="Sinespaciado"/>
        <w:jc w:val="both"/>
        <w:rPr>
          <w:rFonts w:ascii="Abadi" w:hAnsi="Abadi"/>
          <w:sz w:val="28"/>
          <w:szCs w:val="28"/>
        </w:rPr>
      </w:pPr>
      <w:r>
        <w:rPr>
          <w:rFonts w:ascii="Abadi" w:hAnsi="Abadi"/>
          <w:sz w:val="28"/>
          <w:szCs w:val="28"/>
        </w:rPr>
        <w:t xml:space="preserve">Esto queda consignado en la </w:t>
      </w:r>
      <w:r w:rsidR="002B6440">
        <w:rPr>
          <w:rFonts w:ascii="Abadi" w:hAnsi="Abadi"/>
          <w:sz w:val="28"/>
          <w:szCs w:val="28"/>
        </w:rPr>
        <w:t>“</w:t>
      </w:r>
      <w:r w:rsidR="002B6440" w:rsidRPr="002B6440">
        <w:rPr>
          <w:rFonts w:ascii="Abadi" w:hAnsi="Abadi"/>
          <w:sz w:val="28"/>
          <w:szCs w:val="28"/>
        </w:rPr>
        <w:t>Disposición adicional tercera</w:t>
      </w:r>
      <w:r>
        <w:rPr>
          <w:rFonts w:ascii="Abadi" w:hAnsi="Abadi"/>
          <w:sz w:val="28"/>
          <w:szCs w:val="28"/>
        </w:rPr>
        <w:t>” del Texto legal, que regula lo siguiente:</w:t>
      </w:r>
    </w:p>
    <w:p w14:paraId="64F4E885" w14:textId="77777777" w:rsidR="002B6440" w:rsidRDefault="002B6440" w:rsidP="002B6440">
      <w:pPr>
        <w:pStyle w:val="Sinespaciado"/>
        <w:jc w:val="both"/>
        <w:rPr>
          <w:rFonts w:ascii="Abadi" w:hAnsi="Abadi"/>
          <w:sz w:val="28"/>
          <w:szCs w:val="28"/>
        </w:rPr>
      </w:pPr>
    </w:p>
    <w:p w14:paraId="327BB381" w14:textId="42AFCF18" w:rsidR="002B6440" w:rsidRPr="002B6440" w:rsidRDefault="00610571" w:rsidP="002B6440">
      <w:pPr>
        <w:pStyle w:val="Sinespaciado"/>
        <w:jc w:val="both"/>
        <w:rPr>
          <w:rFonts w:ascii="Abadi" w:hAnsi="Abadi"/>
          <w:sz w:val="28"/>
          <w:szCs w:val="28"/>
        </w:rPr>
      </w:pPr>
      <w:r>
        <w:rPr>
          <w:rFonts w:ascii="Abadi" w:hAnsi="Abadi"/>
          <w:sz w:val="28"/>
          <w:szCs w:val="28"/>
        </w:rPr>
        <w:t>“</w:t>
      </w:r>
      <w:r w:rsidR="002B6440" w:rsidRPr="002B6440">
        <w:rPr>
          <w:rFonts w:ascii="Abadi" w:hAnsi="Abadi"/>
          <w:sz w:val="28"/>
          <w:szCs w:val="28"/>
        </w:rPr>
        <w:t>El Gobierno promoverá, en coordinación con el Banco de España como supervisor, y</w:t>
      </w:r>
      <w:r w:rsidR="002B6440">
        <w:rPr>
          <w:rFonts w:ascii="Abadi" w:hAnsi="Abadi"/>
          <w:sz w:val="28"/>
          <w:szCs w:val="28"/>
        </w:rPr>
        <w:t xml:space="preserve"> </w:t>
      </w:r>
      <w:r w:rsidR="002B6440" w:rsidRPr="002B6440">
        <w:rPr>
          <w:rFonts w:ascii="Abadi" w:hAnsi="Abadi"/>
          <w:sz w:val="28"/>
          <w:szCs w:val="28"/>
        </w:rPr>
        <w:t>representantes del sector de entidades de crédito un Plan de Medidas para favorecer la</w:t>
      </w:r>
      <w:r w:rsidR="002B6440">
        <w:rPr>
          <w:rFonts w:ascii="Abadi" w:hAnsi="Abadi"/>
          <w:sz w:val="28"/>
          <w:szCs w:val="28"/>
        </w:rPr>
        <w:t xml:space="preserve"> </w:t>
      </w:r>
      <w:r w:rsidR="002B6440" w:rsidRPr="002B6440">
        <w:rPr>
          <w:rFonts w:ascii="Abadi" w:hAnsi="Abadi"/>
          <w:sz w:val="28"/>
          <w:szCs w:val="28"/>
        </w:rPr>
        <w:t>inclusión de las personas más vulnerables, y especialmente aquéllas de mayor edad,</w:t>
      </w:r>
    </w:p>
    <w:p w14:paraId="4EA21F60" w14:textId="77777777" w:rsidR="002B6440" w:rsidRPr="002B6440" w:rsidRDefault="002B6440" w:rsidP="002B6440">
      <w:pPr>
        <w:pStyle w:val="Sinespaciado"/>
        <w:jc w:val="both"/>
        <w:rPr>
          <w:rFonts w:ascii="Abadi" w:hAnsi="Abadi"/>
          <w:sz w:val="28"/>
          <w:szCs w:val="28"/>
        </w:rPr>
      </w:pPr>
      <w:r w:rsidRPr="002B6440">
        <w:rPr>
          <w:rFonts w:ascii="Abadi" w:hAnsi="Abadi"/>
          <w:sz w:val="28"/>
          <w:szCs w:val="28"/>
        </w:rPr>
        <w:t>que incluya, entre otras, las siguientes:</w:t>
      </w:r>
    </w:p>
    <w:p w14:paraId="0C2B57CA" w14:textId="7DD383AA" w:rsidR="002B6440" w:rsidRPr="002B6440" w:rsidRDefault="002B6440" w:rsidP="002B6440">
      <w:pPr>
        <w:pStyle w:val="Sinespaciado"/>
        <w:jc w:val="both"/>
        <w:rPr>
          <w:rFonts w:ascii="Abadi" w:hAnsi="Abadi"/>
          <w:sz w:val="28"/>
          <w:szCs w:val="28"/>
        </w:rPr>
      </w:pPr>
      <w:r w:rsidRPr="002B6440">
        <w:rPr>
          <w:rFonts w:ascii="Abadi" w:hAnsi="Abadi"/>
          <w:sz w:val="28"/>
          <w:szCs w:val="28"/>
        </w:rPr>
        <w:t>a) Que el cierre de las oficinas bancarias no lleve emparejado el cierre de sus</w:t>
      </w:r>
      <w:r>
        <w:rPr>
          <w:rFonts w:ascii="Abadi" w:hAnsi="Abadi"/>
          <w:sz w:val="28"/>
          <w:szCs w:val="28"/>
        </w:rPr>
        <w:t xml:space="preserve"> </w:t>
      </w:r>
      <w:r w:rsidRPr="002B6440">
        <w:rPr>
          <w:rFonts w:ascii="Abadi" w:hAnsi="Abadi"/>
          <w:sz w:val="28"/>
          <w:szCs w:val="28"/>
        </w:rPr>
        <w:t>cajeros automáticos externos.</w:t>
      </w:r>
    </w:p>
    <w:p w14:paraId="4FA2DEB1" w14:textId="5EC2157D" w:rsidR="002B6440" w:rsidRPr="002B6440" w:rsidRDefault="002B6440" w:rsidP="002B6440">
      <w:pPr>
        <w:pStyle w:val="Sinespaciado"/>
        <w:jc w:val="both"/>
        <w:rPr>
          <w:rFonts w:ascii="Abadi" w:hAnsi="Abadi"/>
          <w:sz w:val="28"/>
          <w:szCs w:val="28"/>
        </w:rPr>
      </w:pPr>
      <w:r w:rsidRPr="002B6440">
        <w:rPr>
          <w:rFonts w:ascii="Abadi" w:hAnsi="Abadi"/>
          <w:sz w:val="28"/>
          <w:szCs w:val="28"/>
        </w:rPr>
        <w:t>b) El incremento del personal de apoyo para ayudar a las personas con menores</w:t>
      </w:r>
      <w:r>
        <w:rPr>
          <w:rFonts w:ascii="Abadi" w:hAnsi="Abadi"/>
          <w:sz w:val="28"/>
          <w:szCs w:val="28"/>
        </w:rPr>
        <w:t xml:space="preserve"> </w:t>
      </w:r>
      <w:r w:rsidRPr="002B6440">
        <w:rPr>
          <w:rFonts w:ascii="Abadi" w:hAnsi="Abadi"/>
          <w:sz w:val="28"/>
          <w:szCs w:val="28"/>
        </w:rPr>
        <w:t>capacidades digitales a realizar las operativas necesarias.</w:t>
      </w:r>
    </w:p>
    <w:p w14:paraId="35ABB8AB" w14:textId="02431366" w:rsidR="002B6440" w:rsidRPr="002B6440" w:rsidRDefault="002B6440" w:rsidP="002B6440">
      <w:pPr>
        <w:pStyle w:val="Sinespaciado"/>
        <w:jc w:val="both"/>
        <w:rPr>
          <w:rFonts w:ascii="Abadi" w:hAnsi="Abadi"/>
          <w:sz w:val="28"/>
          <w:szCs w:val="28"/>
        </w:rPr>
      </w:pPr>
      <w:r w:rsidRPr="002B6440">
        <w:rPr>
          <w:rFonts w:ascii="Abadi" w:hAnsi="Abadi"/>
          <w:sz w:val="28"/>
          <w:szCs w:val="28"/>
        </w:rPr>
        <w:t>c) La instalación de señales e indicaciones de prioridad en el uso de los cajeros</w:t>
      </w:r>
      <w:r>
        <w:rPr>
          <w:rFonts w:ascii="Abadi" w:hAnsi="Abadi"/>
          <w:sz w:val="28"/>
          <w:szCs w:val="28"/>
        </w:rPr>
        <w:t xml:space="preserve"> </w:t>
      </w:r>
      <w:r w:rsidRPr="002B6440">
        <w:rPr>
          <w:rFonts w:ascii="Abadi" w:hAnsi="Abadi"/>
          <w:sz w:val="28"/>
          <w:szCs w:val="28"/>
        </w:rPr>
        <w:t>automáticos por parte de personas vulnerables.</w:t>
      </w:r>
    </w:p>
    <w:p w14:paraId="17D83FFB" w14:textId="77777777" w:rsidR="002B6440" w:rsidRPr="002B6440" w:rsidRDefault="002B6440" w:rsidP="002B6440">
      <w:pPr>
        <w:pStyle w:val="Sinespaciado"/>
        <w:jc w:val="both"/>
        <w:rPr>
          <w:rFonts w:ascii="Abadi" w:hAnsi="Abadi"/>
          <w:sz w:val="28"/>
          <w:szCs w:val="28"/>
        </w:rPr>
      </w:pPr>
      <w:r w:rsidRPr="002B6440">
        <w:rPr>
          <w:rFonts w:ascii="Abadi" w:hAnsi="Abadi"/>
          <w:sz w:val="28"/>
          <w:szCs w:val="28"/>
        </w:rPr>
        <w:t>d) Promover la reserva de cajeros para uso exclusivo de personas vulnerables.</w:t>
      </w:r>
    </w:p>
    <w:p w14:paraId="5E1B3B13" w14:textId="77777777" w:rsidR="002B6440" w:rsidRPr="002B6440" w:rsidRDefault="002B6440" w:rsidP="002B6440">
      <w:pPr>
        <w:pStyle w:val="Sinespaciado"/>
        <w:jc w:val="both"/>
        <w:rPr>
          <w:rFonts w:ascii="Abadi" w:hAnsi="Abadi"/>
          <w:sz w:val="28"/>
          <w:szCs w:val="28"/>
        </w:rPr>
      </w:pPr>
      <w:r w:rsidRPr="002B6440">
        <w:rPr>
          <w:rFonts w:ascii="Abadi" w:hAnsi="Abadi"/>
          <w:sz w:val="28"/>
          <w:szCs w:val="28"/>
        </w:rPr>
        <w:lastRenderedPageBreak/>
        <w:t>e) Tecnologías de acceso a la banca sencillas, comprensibles, inclusivas y seguras.</w:t>
      </w:r>
    </w:p>
    <w:p w14:paraId="4BA5D4BE" w14:textId="130E9979" w:rsidR="002B6440" w:rsidRPr="002B6440" w:rsidRDefault="002B6440" w:rsidP="002B6440">
      <w:pPr>
        <w:pStyle w:val="Sinespaciado"/>
        <w:jc w:val="both"/>
        <w:rPr>
          <w:rFonts w:ascii="Abadi" w:hAnsi="Abadi"/>
          <w:sz w:val="28"/>
          <w:szCs w:val="28"/>
        </w:rPr>
      </w:pPr>
      <w:r w:rsidRPr="002B6440">
        <w:rPr>
          <w:rFonts w:ascii="Abadi" w:hAnsi="Abadi"/>
          <w:sz w:val="28"/>
          <w:szCs w:val="28"/>
        </w:rPr>
        <w:t>f) Máxima seguridad, para proteger a los usuarios bancarios de robos, engaños y</w:t>
      </w:r>
      <w:r>
        <w:rPr>
          <w:rFonts w:ascii="Abadi" w:hAnsi="Abadi"/>
          <w:sz w:val="28"/>
          <w:szCs w:val="28"/>
        </w:rPr>
        <w:t xml:space="preserve"> </w:t>
      </w:r>
      <w:r w:rsidRPr="002B6440">
        <w:rPr>
          <w:rFonts w:ascii="Abadi" w:hAnsi="Abadi"/>
          <w:sz w:val="28"/>
          <w:szCs w:val="28"/>
        </w:rPr>
        <w:t xml:space="preserve">estafas </w:t>
      </w:r>
      <w:proofErr w:type="spellStart"/>
      <w:r w:rsidRPr="002B6440">
        <w:rPr>
          <w:rFonts w:ascii="Abadi" w:hAnsi="Abadi"/>
          <w:i/>
          <w:iCs/>
          <w:sz w:val="28"/>
          <w:szCs w:val="28"/>
        </w:rPr>
        <w:t>on</w:t>
      </w:r>
      <w:proofErr w:type="spellEnd"/>
      <w:r w:rsidRPr="002B6440">
        <w:rPr>
          <w:rFonts w:ascii="Abadi" w:hAnsi="Abadi"/>
          <w:i/>
          <w:iCs/>
          <w:sz w:val="28"/>
          <w:szCs w:val="28"/>
        </w:rPr>
        <w:t xml:space="preserve"> line</w:t>
      </w:r>
      <w:r w:rsidRPr="002B6440">
        <w:rPr>
          <w:rFonts w:ascii="Abadi" w:hAnsi="Abadi"/>
          <w:sz w:val="28"/>
          <w:szCs w:val="28"/>
        </w:rPr>
        <w:t>.</w:t>
      </w:r>
    </w:p>
    <w:p w14:paraId="1247B30B" w14:textId="3E0013E2" w:rsidR="002B6440" w:rsidRPr="002B6440" w:rsidRDefault="002B6440" w:rsidP="002B6440">
      <w:pPr>
        <w:pStyle w:val="Sinespaciado"/>
        <w:jc w:val="both"/>
        <w:rPr>
          <w:rFonts w:ascii="Abadi" w:hAnsi="Abadi"/>
          <w:sz w:val="28"/>
          <w:szCs w:val="28"/>
        </w:rPr>
      </w:pPr>
      <w:r w:rsidRPr="002B6440">
        <w:rPr>
          <w:rFonts w:ascii="Abadi" w:hAnsi="Abadi"/>
          <w:sz w:val="28"/>
          <w:szCs w:val="28"/>
        </w:rPr>
        <w:t>g) Cuantas medidas se consideren necesarias para garantizar la atención</w:t>
      </w:r>
      <w:r>
        <w:rPr>
          <w:rFonts w:ascii="Abadi" w:hAnsi="Abadi"/>
          <w:sz w:val="28"/>
          <w:szCs w:val="28"/>
        </w:rPr>
        <w:t xml:space="preserve"> </w:t>
      </w:r>
      <w:r w:rsidRPr="002B6440">
        <w:rPr>
          <w:rFonts w:ascii="Abadi" w:hAnsi="Abadi"/>
          <w:sz w:val="28"/>
          <w:szCs w:val="28"/>
        </w:rPr>
        <w:t>presencial a las personas de mayor edad, y a todos aquellos colectivos para los que el</w:t>
      </w:r>
      <w:r>
        <w:rPr>
          <w:rFonts w:ascii="Abadi" w:hAnsi="Abadi"/>
          <w:sz w:val="28"/>
          <w:szCs w:val="28"/>
        </w:rPr>
        <w:t xml:space="preserve"> </w:t>
      </w:r>
      <w:r w:rsidRPr="002B6440">
        <w:rPr>
          <w:rFonts w:ascii="Abadi" w:hAnsi="Abadi"/>
          <w:sz w:val="28"/>
          <w:szCs w:val="28"/>
        </w:rPr>
        <w:t>acceso a los servicios financieros a través de las nuevas tecnologías constituya un</w:t>
      </w:r>
      <w:r>
        <w:rPr>
          <w:rFonts w:ascii="Abadi" w:hAnsi="Abadi"/>
          <w:sz w:val="28"/>
          <w:szCs w:val="28"/>
        </w:rPr>
        <w:t xml:space="preserve"> </w:t>
      </w:r>
      <w:r w:rsidRPr="002B6440">
        <w:rPr>
          <w:rFonts w:ascii="Abadi" w:hAnsi="Abadi"/>
          <w:sz w:val="28"/>
          <w:szCs w:val="28"/>
        </w:rPr>
        <w:t>motivo de exclusión financiera.</w:t>
      </w:r>
    </w:p>
    <w:p w14:paraId="6C0851C2" w14:textId="4B74A43E" w:rsidR="002B6440" w:rsidRDefault="002B6440" w:rsidP="002B6440">
      <w:pPr>
        <w:pStyle w:val="Sinespaciado"/>
        <w:jc w:val="both"/>
        <w:rPr>
          <w:rFonts w:ascii="Abadi" w:hAnsi="Abadi"/>
          <w:sz w:val="28"/>
          <w:szCs w:val="28"/>
        </w:rPr>
      </w:pPr>
      <w:r w:rsidRPr="002B6440">
        <w:rPr>
          <w:rFonts w:ascii="Abadi" w:hAnsi="Abadi"/>
          <w:sz w:val="28"/>
          <w:szCs w:val="28"/>
        </w:rPr>
        <w:t>h) Cuantas medidas se consideren oportunas para acercar los servicios financieros</w:t>
      </w:r>
      <w:r>
        <w:rPr>
          <w:rFonts w:ascii="Abadi" w:hAnsi="Abadi"/>
          <w:sz w:val="28"/>
          <w:szCs w:val="28"/>
        </w:rPr>
        <w:t xml:space="preserve"> </w:t>
      </w:r>
      <w:r w:rsidRPr="002B6440">
        <w:rPr>
          <w:rFonts w:ascii="Abadi" w:hAnsi="Abadi"/>
          <w:sz w:val="28"/>
          <w:szCs w:val="28"/>
        </w:rPr>
        <w:t>a todas las personas, especialmente en el medio rural, hacerlos más accesibles,</w:t>
      </w:r>
      <w:r>
        <w:rPr>
          <w:rFonts w:ascii="Abadi" w:hAnsi="Abadi"/>
          <w:sz w:val="28"/>
          <w:szCs w:val="28"/>
        </w:rPr>
        <w:t xml:space="preserve"> </w:t>
      </w:r>
      <w:r w:rsidRPr="002B6440">
        <w:rPr>
          <w:rFonts w:ascii="Abadi" w:hAnsi="Abadi"/>
          <w:sz w:val="28"/>
          <w:szCs w:val="28"/>
        </w:rPr>
        <w:t xml:space="preserve">teniendo especialmente en cuenta las necesidades de </w:t>
      </w:r>
      <w:r w:rsidRPr="00610571">
        <w:rPr>
          <w:rFonts w:ascii="Abadi" w:hAnsi="Abadi"/>
          <w:b/>
          <w:bCs/>
          <w:i/>
          <w:iCs/>
          <w:sz w:val="28"/>
          <w:szCs w:val="28"/>
          <w:u w:val="single"/>
        </w:rPr>
        <w:t>las personas con discapacidad</w:t>
      </w:r>
      <w:r w:rsidRPr="002B6440">
        <w:rPr>
          <w:rFonts w:ascii="Abadi" w:hAnsi="Abadi"/>
          <w:sz w:val="28"/>
          <w:szCs w:val="28"/>
        </w:rPr>
        <w:t xml:space="preserve"> y</w:t>
      </w:r>
      <w:r w:rsidR="00610571">
        <w:rPr>
          <w:rFonts w:ascii="Abadi" w:hAnsi="Abadi"/>
          <w:sz w:val="28"/>
          <w:szCs w:val="28"/>
        </w:rPr>
        <w:t xml:space="preserve"> </w:t>
      </w:r>
      <w:r w:rsidRPr="002B6440">
        <w:rPr>
          <w:rFonts w:ascii="Abadi" w:hAnsi="Abadi"/>
          <w:sz w:val="28"/>
          <w:szCs w:val="28"/>
        </w:rPr>
        <w:t>las personas mayores.</w:t>
      </w:r>
    </w:p>
    <w:p w14:paraId="54CDBB22" w14:textId="77777777" w:rsidR="00610571" w:rsidRPr="002B6440" w:rsidRDefault="00610571" w:rsidP="002B6440">
      <w:pPr>
        <w:pStyle w:val="Sinespaciado"/>
        <w:jc w:val="both"/>
        <w:rPr>
          <w:rFonts w:ascii="Abadi" w:hAnsi="Abadi"/>
          <w:sz w:val="28"/>
          <w:szCs w:val="28"/>
        </w:rPr>
      </w:pPr>
    </w:p>
    <w:p w14:paraId="43F8FDFA" w14:textId="77777777" w:rsidR="002B6440" w:rsidRDefault="002B6440" w:rsidP="002B6440">
      <w:pPr>
        <w:pStyle w:val="Sinespaciado"/>
        <w:jc w:val="both"/>
        <w:rPr>
          <w:rFonts w:ascii="Abadi" w:hAnsi="Abadi"/>
          <w:sz w:val="28"/>
          <w:szCs w:val="28"/>
        </w:rPr>
      </w:pPr>
      <w:r w:rsidRPr="002B6440">
        <w:rPr>
          <w:rFonts w:ascii="Abadi" w:hAnsi="Abadi"/>
          <w:sz w:val="28"/>
          <w:szCs w:val="28"/>
        </w:rPr>
        <w:t>Asimismo, el Gobierno continuará impulsando entre las líneas de actuación</w:t>
      </w:r>
      <w:r>
        <w:rPr>
          <w:rFonts w:ascii="Abadi" w:hAnsi="Abadi"/>
          <w:sz w:val="28"/>
          <w:szCs w:val="28"/>
        </w:rPr>
        <w:t xml:space="preserve"> </w:t>
      </w:r>
      <w:r w:rsidRPr="002B6440">
        <w:rPr>
          <w:rFonts w:ascii="Abadi" w:hAnsi="Abadi"/>
          <w:sz w:val="28"/>
          <w:szCs w:val="28"/>
        </w:rPr>
        <w:t>estratégica de la sociedad estatal Correos y Telégrafos, S.A., iniciativas para evitar la</w:t>
      </w:r>
      <w:r>
        <w:rPr>
          <w:rFonts w:ascii="Abadi" w:hAnsi="Abadi"/>
          <w:sz w:val="28"/>
          <w:szCs w:val="28"/>
        </w:rPr>
        <w:t xml:space="preserve"> </w:t>
      </w:r>
      <w:r w:rsidRPr="002B6440">
        <w:rPr>
          <w:rFonts w:ascii="Abadi" w:hAnsi="Abadi"/>
          <w:sz w:val="28"/>
          <w:szCs w:val="28"/>
        </w:rPr>
        <w:t>exclusión financiera de los consumidores en situación de vulnerabilidad, como la</w:t>
      </w:r>
      <w:r>
        <w:rPr>
          <w:rFonts w:ascii="Abadi" w:hAnsi="Abadi"/>
          <w:sz w:val="28"/>
          <w:szCs w:val="28"/>
        </w:rPr>
        <w:t xml:space="preserve"> </w:t>
      </w:r>
      <w:r w:rsidRPr="002B6440">
        <w:rPr>
          <w:rFonts w:ascii="Abadi" w:hAnsi="Abadi"/>
          <w:sz w:val="28"/>
          <w:szCs w:val="28"/>
        </w:rPr>
        <w:t>instalación en sus oficinas de cajeros automáticos en pequeños núcleos de población sin</w:t>
      </w:r>
      <w:r>
        <w:rPr>
          <w:rFonts w:ascii="Abadi" w:hAnsi="Abadi"/>
          <w:sz w:val="28"/>
          <w:szCs w:val="28"/>
        </w:rPr>
        <w:t xml:space="preserve"> </w:t>
      </w:r>
      <w:r w:rsidRPr="002B6440">
        <w:rPr>
          <w:rFonts w:ascii="Abadi" w:hAnsi="Abadi"/>
          <w:sz w:val="28"/>
          <w:szCs w:val="28"/>
        </w:rPr>
        <w:t>este tipo de servicios o la firma de acuerdos de colaboración con las entidades bancarias</w:t>
      </w:r>
      <w:r>
        <w:rPr>
          <w:rFonts w:ascii="Abadi" w:hAnsi="Abadi"/>
          <w:sz w:val="28"/>
          <w:szCs w:val="28"/>
        </w:rPr>
        <w:t xml:space="preserve"> </w:t>
      </w:r>
      <w:r w:rsidRPr="002B6440">
        <w:rPr>
          <w:rFonts w:ascii="Abadi" w:hAnsi="Abadi"/>
          <w:sz w:val="28"/>
          <w:szCs w:val="28"/>
        </w:rPr>
        <w:t>para la realización de operaciones de ingreso y retirada de efectivo.</w:t>
      </w:r>
      <w:r>
        <w:rPr>
          <w:rFonts w:ascii="Abadi" w:hAnsi="Abadi"/>
          <w:sz w:val="28"/>
          <w:szCs w:val="28"/>
        </w:rPr>
        <w:t>”</w:t>
      </w:r>
    </w:p>
    <w:p w14:paraId="6ADF3FAE" w14:textId="77777777" w:rsidR="002B6440" w:rsidRDefault="002B6440" w:rsidP="002B6440">
      <w:pPr>
        <w:pStyle w:val="Sinespaciado"/>
        <w:jc w:val="both"/>
        <w:rPr>
          <w:rFonts w:ascii="Abadi" w:hAnsi="Abadi"/>
          <w:sz w:val="28"/>
          <w:szCs w:val="28"/>
        </w:rPr>
      </w:pPr>
    </w:p>
    <w:p w14:paraId="07C80EBD" w14:textId="77777777" w:rsidR="00FD70FD" w:rsidRDefault="00CD1A45" w:rsidP="002B6440">
      <w:pPr>
        <w:pStyle w:val="Sinespaciado"/>
        <w:jc w:val="both"/>
        <w:rPr>
          <w:rFonts w:ascii="Abadi" w:hAnsi="Abadi"/>
          <w:sz w:val="28"/>
          <w:szCs w:val="28"/>
        </w:rPr>
      </w:pPr>
      <w:r>
        <w:rPr>
          <w:rFonts w:ascii="Abadi" w:hAnsi="Abadi"/>
          <w:sz w:val="28"/>
          <w:szCs w:val="28"/>
        </w:rPr>
        <w:t>La accesibilidad universal</w:t>
      </w:r>
      <w:r w:rsidR="00FD70FD">
        <w:rPr>
          <w:rFonts w:ascii="Abadi" w:hAnsi="Abadi"/>
          <w:sz w:val="28"/>
          <w:szCs w:val="28"/>
        </w:rPr>
        <w:t>, gracias a las propuestas del CERMI,</w:t>
      </w:r>
      <w:r>
        <w:rPr>
          <w:rFonts w:ascii="Abadi" w:hAnsi="Abadi"/>
          <w:sz w:val="28"/>
          <w:szCs w:val="28"/>
        </w:rPr>
        <w:t xml:space="preserve"> es también otra exigencia que se refuerza notablemente </w:t>
      </w:r>
      <w:r w:rsidR="00FD70FD">
        <w:rPr>
          <w:rFonts w:ascii="Abadi" w:hAnsi="Abadi"/>
          <w:sz w:val="28"/>
          <w:szCs w:val="28"/>
        </w:rPr>
        <w:t xml:space="preserve">con esta Ley, la cual procede a la modificación de varios preceptos de la Ley General para la Defensa de los Consumidores y Usuarios, para establecer como derecho, condición o requisito. </w:t>
      </w:r>
    </w:p>
    <w:p w14:paraId="1B0744DA" w14:textId="22F0B7CE" w:rsidR="00610571" w:rsidRDefault="00FD70FD" w:rsidP="002B6440">
      <w:pPr>
        <w:pStyle w:val="Sinespaciado"/>
        <w:jc w:val="both"/>
        <w:rPr>
          <w:rFonts w:ascii="Abadi" w:hAnsi="Abadi"/>
          <w:sz w:val="28"/>
          <w:szCs w:val="28"/>
        </w:rPr>
      </w:pPr>
      <w:r>
        <w:rPr>
          <w:rFonts w:ascii="Abadi" w:hAnsi="Abadi"/>
          <w:sz w:val="28"/>
          <w:szCs w:val="28"/>
        </w:rPr>
        <w:t xml:space="preserve">  </w:t>
      </w:r>
    </w:p>
    <w:p w14:paraId="6B649398" w14:textId="591D34F9" w:rsidR="00FD70FD" w:rsidRDefault="00FD70FD" w:rsidP="00FD70FD">
      <w:pPr>
        <w:pStyle w:val="Sinespaciado"/>
        <w:jc w:val="both"/>
        <w:rPr>
          <w:rFonts w:ascii="Abadi" w:hAnsi="Abadi"/>
          <w:sz w:val="28"/>
          <w:szCs w:val="28"/>
        </w:rPr>
      </w:pPr>
      <w:r>
        <w:rPr>
          <w:rFonts w:ascii="Abadi" w:hAnsi="Abadi"/>
          <w:sz w:val="28"/>
          <w:szCs w:val="28"/>
        </w:rPr>
        <w:t>De este modo, se regula como derechos básicos de los consumidores y usuarios “l</w:t>
      </w:r>
      <w:r w:rsidRPr="00FD70FD">
        <w:rPr>
          <w:rFonts w:ascii="Abadi" w:hAnsi="Abadi"/>
          <w:sz w:val="28"/>
          <w:szCs w:val="28"/>
        </w:rPr>
        <w:t xml:space="preserve">a información correcta sobre los diferentes bienes o servicios </w:t>
      </w:r>
      <w:r w:rsidRPr="00FD70FD">
        <w:rPr>
          <w:rFonts w:ascii="Abadi" w:hAnsi="Abadi"/>
          <w:b/>
          <w:bCs/>
          <w:i/>
          <w:iCs/>
          <w:sz w:val="28"/>
          <w:szCs w:val="28"/>
          <w:u w:val="single"/>
        </w:rPr>
        <w:t>en formatos</w:t>
      </w:r>
      <w:r w:rsidRPr="00FD70FD">
        <w:rPr>
          <w:rFonts w:ascii="Abadi" w:hAnsi="Abadi"/>
          <w:b/>
          <w:bCs/>
          <w:i/>
          <w:iCs/>
          <w:sz w:val="28"/>
          <w:szCs w:val="28"/>
          <w:u w:val="single"/>
        </w:rPr>
        <w:t xml:space="preserve"> </w:t>
      </w:r>
      <w:r w:rsidRPr="00FD70FD">
        <w:rPr>
          <w:rFonts w:ascii="Abadi" w:hAnsi="Abadi"/>
          <w:b/>
          <w:bCs/>
          <w:i/>
          <w:iCs/>
          <w:sz w:val="28"/>
          <w:szCs w:val="28"/>
          <w:u w:val="single"/>
        </w:rPr>
        <w:t>que garanticen su accesibilidad</w:t>
      </w:r>
      <w:r w:rsidRPr="00FD70FD">
        <w:rPr>
          <w:rFonts w:ascii="Abadi" w:hAnsi="Abadi"/>
          <w:sz w:val="28"/>
          <w:szCs w:val="28"/>
        </w:rPr>
        <w:t xml:space="preserve"> y la educación y divulgación para facilitar el</w:t>
      </w:r>
      <w:r>
        <w:rPr>
          <w:rFonts w:ascii="Abadi" w:hAnsi="Abadi"/>
          <w:sz w:val="28"/>
          <w:szCs w:val="28"/>
        </w:rPr>
        <w:t xml:space="preserve"> </w:t>
      </w:r>
      <w:r w:rsidRPr="00FD70FD">
        <w:rPr>
          <w:rFonts w:ascii="Abadi" w:hAnsi="Abadi"/>
          <w:sz w:val="28"/>
          <w:szCs w:val="28"/>
        </w:rPr>
        <w:t>conocimiento sobre su adecuado uso, consumo o disfrute, así como la toma de</w:t>
      </w:r>
      <w:r>
        <w:rPr>
          <w:rFonts w:ascii="Abadi" w:hAnsi="Abadi"/>
          <w:sz w:val="28"/>
          <w:szCs w:val="28"/>
        </w:rPr>
        <w:t xml:space="preserve"> </w:t>
      </w:r>
      <w:r w:rsidRPr="00FD70FD">
        <w:rPr>
          <w:rFonts w:ascii="Abadi" w:hAnsi="Abadi"/>
          <w:sz w:val="28"/>
          <w:szCs w:val="28"/>
        </w:rPr>
        <w:t>decisiones óptimas para sus intereses</w:t>
      </w:r>
      <w:r w:rsidR="001209D6">
        <w:rPr>
          <w:rFonts w:ascii="Abadi" w:hAnsi="Abadi"/>
          <w:sz w:val="28"/>
          <w:szCs w:val="28"/>
        </w:rPr>
        <w:t>.”</w:t>
      </w:r>
    </w:p>
    <w:p w14:paraId="17E3B9E4" w14:textId="4EF651EA" w:rsidR="00CD1A45" w:rsidRDefault="00CD1A45" w:rsidP="002B6440">
      <w:pPr>
        <w:pStyle w:val="Sinespaciado"/>
        <w:jc w:val="both"/>
        <w:rPr>
          <w:rFonts w:ascii="Abadi" w:hAnsi="Abadi"/>
          <w:sz w:val="28"/>
          <w:szCs w:val="28"/>
        </w:rPr>
      </w:pPr>
    </w:p>
    <w:p w14:paraId="796DB3D6" w14:textId="06D6B498" w:rsidR="00694F3D" w:rsidRDefault="00741C9C" w:rsidP="00694F3D">
      <w:pPr>
        <w:pStyle w:val="Sinespaciado"/>
        <w:jc w:val="both"/>
        <w:rPr>
          <w:rFonts w:ascii="Abadi" w:hAnsi="Abadi"/>
          <w:sz w:val="28"/>
          <w:szCs w:val="28"/>
        </w:rPr>
      </w:pPr>
      <w:r>
        <w:rPr>
          <w:rFonts w:ascii="Abadi" w:hAnsi="Abadi"/>
          <w:sz w:val="28"/>
          <w:szCs w:val="28"/>
        </w:rPr>
        <w:t>También en las obligaciones referidas al etiquetado genera de bienes y productos, se introduce la accesibilidad, quedando de esta guisa: “</w:t>
      </w:r>
      <w:r w:rsidRPr="00741C9C">
        <w:rPr>
          <w:rFonts w:ascii="Abadi" w:hAnsi="Abadi"/>
          <w:sz w:val="28"/>
          <w:szCs w:val="28"/>
        </w:rPr>
        <w:t>2. Sin perjuicio de las exigencias concretas que se establezcan</w:t>
      </w:r>
      <w:r>
        <w:rPr>
          <w:rFonts w:ascii="Abadi" w:hAnsi="Abadi"/>
          <w:sz w:val="28"/>
          <w:szCs w:val="28"/>
        </w:rPr>
        <w:t xml:space="preserve"> </w:t>
      </w:r>
      <w:r w:rsidRPr="00741C9C">
        <w:rPr>
          <w:rFonts w:ascii="Abadi" w:hAnsi="Abadi"/>
          <w:sz w:val="28"/>
          <w:szCs w:val="28"/>
        </w:rPr>
        <w:t>reglamentariamente y de la normativa sectorial que en cada caso resulte de</w:t>
      </w:r>
      <w:r>
        <w:rPr>
          <w:rFonts w:ascii="Abadi" w:hAnsi="Abadi"/>
          <w:sz w:val="28"/>
          <w:szCs w:val="28"/>
        </w:rPr>
        <w:t xml:space="preserve"> </w:t>
      </w:r>
      <w:r w:rsidRPr="00741C9C">
        <w:rPr>
          <w:rFonts w:ascii="Abadi" w:hAnsi="Abadi"/>
          <w:sz w:val="28"/>
          <w:szCs w:val="28"/>
        </w:rPr>
        <w:t>aplicación, que prestarán especial atención a las personas consumidoras</w:t>
      </w:r>
      <w:r>
        <w:rPr>
          <w:rFonts w:ascii="Abadi" w:hAnsi="Abadi"/>
          <w:sz w:val="28"/>
          <w:szCs w:val="28"/>
        </w:rPr>
        <w:t xml:space="preserve"> </w:t>
      </w:r>
      <w:r w:rsidRPr="00741C9C">
        <w:rPr>
          <w:rFonts w:ascii="Abadi" w:hAnsi="Abadi"/>
          <w:sz w:val="28"/>
          <w:szCs w:val="28"/>
        </w:rPr>
        <w:t>vulnerables, todos los bienes y servicios puestos a disposición de los</w:t>
      </w:r>
      <w:r>
        <w:rPr>
          <w:rFonts w:ascii="Abadi" w:hAnsi="Abadi"/>
          <w:sz w:val="28"/>
          <w:szCs w:val="28"/>
        </w:rPr>
        <w:t xml:space="preserve"> </w:t>
      </w:r>
      <w:r w:rsidRPr="00741C9C">
        <w:rPr>
          <w:rFonts w:ascii="Abadi" w:hAnsi="Abadi"/>
          <w:sz w:val="28"/>
          <w:szCs w:val="28"/>
        </w:rPr>
        <w:t xml:space="preserve">consumidores y usuarios deberán ser de fácil acceso y comprensión, </w:t>
      </w:r>
      <w:r w:rsidRPr="00741C9C">
        <w:rPr>
          <w:rFonts w:ascii="Abadi" w:hAnsi="Abadi"/>
          <w:b/>
          <w:bCs/>
          <w:i/>
          <w:iCs/>
          <w:sz w:val="28"/>
          <w:szCs w:val="28"/>
          <w:u w:val="single"/>
        </w:rPr>
        <w:t>ofrecidos en</w:t>
      </w:r>
      <w:r w:rsidRPr="00741C9C">
        <w:rPr>
          <w:rFonts w:ascii="Abadi" w:hAnsi="Abadi"/>
          <w:b/>
          <w:bCs/>
          <w:i/>
          <w:iCs/>
          <w:sz w:val="28"/>
          <w:szCs w:val="28"/>
          <w:u w:val="single"/>
        </w:rPr>
        <w:t xml:space="preserve"> </w:t>
      </w:r>
      <w:r w:rsidRPr="00741C9C">
        <w:rPr>
          <w:rFonts w:ascii="Abadi" w:hAnsi="Abadi"/>
          <w:b/>
          <w:bCs/>
          <w:i/>
          <w:iCs/>
          <w:sz w:val="28"/>
          <w:szCs w:val="28"/>
          <w:u w:val="single"/>
        </w:rPr>
        <w:t>formatos que garanticen su accesibilidad</w:t>
      </w:r>
      <w:r w:rsidRPr="00741C9C">
        <w:rPr>
          <w:rFonts w:ascii="Abadi" w:hAnsi="Abadi"/>
          <w:sz w:val="28"/>
          <w:szCs w:val="28"/>
        </w:rPr>
        <w:t xml:space="preserve"> y, en todo caso, incorporar, acompañar o,</w:t>
      </w:r>
      <w:r>
        <w:rPr>
          <w:rFonts w:ascii="Abadi" w:hAnsi="Abadi"/>
          <w:sz w:val="28"/>
          <w:szCs w:val="28"/>
        </w:rPr>
        <w:t xml:space="preserve"> </w:t>
      </w:r>
      <w:r w:rsidRPr="00741C9C">
        <w:rPr>
          <w:rFonts w:ascii="Abadi" w:hAnsi="Abadi"/>
          <w:sz w:val="28"/>
          <w:szCs w:val="28"/>
        </w:rPr>
        <w:t xml:space="preserve">en último caso, permitir </w:t>
      </w:r>
      <w:r w:rsidRPr="00741C9C">
        <w:rPr>
          <w:rFonts w:ascii="Abadi" w:hAnsi="Abadi"/>
          <w:sz w:val="28"/>
          <w:szCs w:val="28"/>
        </w:rPr>
        <w:lastRenderedPageBreak/>
        <w:t>obtener, de forma clara y comprensible, información veraz,</w:t>
      </w:r>
      <w:r>
        <w:rPr>
          <w:rFonts w:ascii="Abadi" w:hAnsi="Abadi"/>
          <w:sz w:val="28"/>
          <w:szCs w:val="28"/>
        </w:rPr>
        <w:t xml:space="preserve"> </w:t>
      </w:r>
      <w:r w:rsidRPr="00741C9C">
        <w:rPr>
          <w:rFonts w:ascii="Abadi" w:hAnsi="Abadi"/>
          <w:sz w:val="28"/>
          <w:szCs w:val="28"/>
        </w:rPr>
        <w:t>eficaz, suficiente y accesible sobre sus características esenciales</w:t>
      </w:r>
      <w:r w:rsidR="00694F3D">
        <w:rPr>
          <w:rFonts w:ascii="Abadi" w:hAnsi="Abadi"/>
          <w:sz w:val="28"/>
          <w:szCs w:val="28"/>
        </w:rPr>
        <w:t>”.</w:t>
      </w:r>
    </w:p>
    <w:p w14:paraId="75DAD746" w14:textId="77777777" w:rsidR="00694F3D" w:rsidRDefault="00694F3D" w:rsidP="00694F3D">
      <w:pPr>
        <w:pStyle w:val="Sinespaciado"/>
        <w:jc w:val="both"/>
        <w:rPr>
          <w:rFonts w:ascii="Abadi" w:hAnsi="Abadi"/>
          <w:sz w:val="28"/>
          <w:szCs w:val="28"/>
        </w:rPr>
      </w:pPr>
    </w:p>
    <w:p w14:paraId="7AACDB75" w14:textId="02FB496E" w:rsidR="00D212F7" w:rsidRDefault="00694F3D" w:rsidP="00694F3D">
      <w:pPr>
        <w:pStyle w:val="Sinespaciado"/>
        <w:jc w:val="both"/>
        <w:rPr>
          <w:rFonts w:ascii="Abadi" w:hAnsi="Abadi"/>
          <w:sz w:val="28"/>
          <w:szCs w:val="28"/>
        </w:rPr>
      </w:pPr>
      <w:r>
        <w:rPr>
          <w:rFonts w:ascii="Abadi" w:hAnsi="Abadi"/>
          <w:sz w:val="28"/>
          <w:szCs w:val="28"/>
        </w:rPr>
        <w:t xml:space="preserve">Asimismo, </w:t>
      </w:r>
      <w:r w:rsidR="00963085">
        <w:rPr>
          <w:rFonts w:ascii="Abadi" w:hAnsi="Abadi"/>
          <w:sz w:val="28"/>
          <w:szCs w:val="28"/>
        </w:rPr>
        <w:t>el requerimiento de la</w:t>
      </w:r>
      <w:r>
        <w:rPr>
          <w:rFonts w:ascii="Abadi" w:hAnsi="Abadi"/>
          <w:sz w:val="28"/>
          <w:szCs w:val="28"/>
        </w:rPr>
        <w:t xml:space="preserve"> accesibilidad se extiende a la oferta comercial que “</w:t>
      </w:r>
      <w:r w:rsidRPr="00694F3D">
        <w:rPr>
          <w:rFonts w:ascii="Abadi" w:hAnsi="Abadi"/>
          <w:sz w:val="28"/>
          <w:szCs w:val="28"/>
        </w:rPr>
        <w:t>deberá facilitarse a los</w:t>
      </w:r>
      <w:r>
        <w:rPr>
          <w:rFonts w:ascii="Abadi" w:hAnsi="Abadi"/>
          <w:sz w:val="28"/>
          <w:szCs w:val="28"/>
        </w:rPr>
        <w:t xml:space="preserve"> </w:t>
      </w:r>
      <w:r w:rsidRPr="00694F3D">
        <w:rPr>
          <w:rFonts w:ascii="Abadi" w:hAnsi="Abadi"/>
          <w:sz w:val="28"/>
          <w:szCs w:val="28"/>
        </w:rPr>
        <w:t>consumidores o usuarios, principalmente cuando se trate de personas</w:t>
      </w:r>
      <w:r>
        <w:rPr>
          <w:rFonts w:ascii="Abadi" w:hAnsi="Abadi"/>
          <w:sz w:val="28"/>
          <w:szCs w:val="28"/>
        </w:rPr>
        <w:t xml:space="preserve"> </w:t>
      </w:r>
      <w:r w:rsidRPr="00694F3D">
        <w:rPr>
          <w:rFonts w:ascii="Abadi" w:hAnsi="Abadi"/>
          <w:sz w:val="28"/>
          <w:szCs w:val="28"/>
        </w:rPr>
        <w:t xml:space="preserve">consumidoras vulnerables, en términos claros, comprensibles, veraces y en </w:t>
      </w:r>
      <w:r w:rsidRPr="00694F3D">
        <w:rPr>
          <w:rFonts w:ascii="Abadi" w:hAnsi="Abadi"/>
          <w:b/>
          <w:bCs/>
          <w:i/>
          <w:iCs/>
          <w:sz w:val="28"/>
          <w:szCs w:val="28"/>
          <w:u w:val="single"/>
        </w:rPr>
        <w:t>un</w:t>
      </w:r>
      <w:r w:rsidRPr="00694F3D">
        <w:rPr>
          <w:rFonts w:ascii="Abadi" w:hAnsi="Abadi"/>
          <w:b/>
          <w:bCs/>
          <w:i/>
          <w:iCs/>
          <w:sz w:val="28"/>
          <w:szCs w:val="28"/>
          <w:u w:val="single"/>
        </w:rPr>
        <w:t xml:space="preserve"> </w:t>
      </w:r>
      <w:r w:rsidRPr="00694F3D">
        <w:rPr>
          <w:rFonts w:ascii="Abadi" w:hAnsi="Abadi"/>
          <w:b/>
          <w:bCs/>
          <w:i/>
          <w:iCs/>
          <w:sz w:val="28"/>
          <w:szCs w:val="28"/>
          <w:u w:val="single"/>
        </w:rPr>
        <w:t>formato que garantice su accesibilidad</w:t>
      </w:r>
      <w:r w:rsidRPr="00694F3D">
        <w:rPr>
          <w:rFonts w:ascii="Abadi" w:hAnsi="Abadi"/>
          <w:sz w:val="28"/>
          <w:szCs w:val="28"/>
        </w:rPr>
        <w:t>, de forma que aseguren su adecuada</w:t>
      </w:r>
      <w:r>
        <w:rPr>
          <w:rFonts w:ascii="Abadi" w:hAnsi="Abadi"/>
          <w:sz w:val="28"/>
          <w:szCs w:val="28"/>
        </w:rPr>
        <w:t xml:space="preserve"> </w:t>
      </w:r>
      <w:r w:rsidRPr="00694F3D">
        <w:rPr>
          <w:rFonts w:ascii="Abadi" w:hAnsi="Abadi"/>
          <w:sz w:val="28"/>
          <w:szCs w:val="28"/>
        </w:rPr>
        <w:t>comprensión y permitan la toma de decisiones óptimas para sus intereses</w:t>
      </w:r>
      <w:r w:rsidR="00D212F7">
        <w:rPr>
          <w:rFonts w:ascii="Abadi" w:hAnsi="Abadi"/>
          <w:sz w:val="28"/>
          <w:szCs w:val="28"/>
        </w:rPr>
        <w:t>”</w:t>
      </w:r>
      <w:r w:rsidRPr="00694F3D">
        <w:rPr>
          <w:rFonts w:ascii="Abadi" w:hAnsi="Abadi"/>
          <w:sz w:val="28"/>
          <w:szCs w:val="28"/>
        </w:rPr>
        <w:t>.</w:t>
      </w:r>
    </w:p>
    <w:p w14:paraId="4E94B201" w14:textId="77777777" w:rsidR="00D212F7" w:rsidRDefault="00D212F7" w:rsidP="00694F3D">
      <w:pPr>
        <w:pStyle w:val="Sinespaciado"/>
        <w:jc w:val="both"/>
        <w:rPr>
          <w:rFonts w:ascii="Abadi" w:hAnsi="Abadi"/>
          <w:sz w:val="28"/>
          <w:szCs w:val="28"/>
        </w:rPr>
      </w:pPr>
    </w:p>
    <w:p w14:paraId="4640F5E1" w14:textId="6A341160" w:rsidR="00741C9C" w:rsidRDefault="00963085" w:rsidP="00963085">
      <w:pPr>
        <w:pStyle w:val="Sinespaciado"/>
        <w:jc w:val="both"/>
        <w:rPr>
          <w:rFonts w:ascii="Abadi" w:hAnsi="Abadi"/>
          <w:sz w:val="28"/>
          <w:szCs w:val="28"/>
        </w:rPr>
      </w:pPr>
      <w:r>
        <w:rPr>
          <w:rFonts w:ascii="Abadi" w:hAnsi="Abadi"/>
          <w:sz w:val="28"/>
          <w:szCs w:val="28"/>
        </w:rPr>
        <w:t>Finalmente, respecto de las características y condiciones de los contratos, se exige la “</w:t>
      </w:r>
      <w:r w:rsidRPr="00963085">
        <w:rPr>
          <w:rFonts w:ascii="Abadi" w:hAnsi="Abadi"/>
          <w:b/>
          <w:bCs/>
          <w:i/>
          <w:iCs/>
          <w:sz w:val="28"/>
          <w:szCs w:val="28"/>
          <w:u w:val="single"/>
        </w:rPr>
        <w:t>a</w:t>
      </w:r>
      <w:r w:rsidRPr="00963085">
        <w:rPr>
          <w:rFonts w:ascii="Abadi" w:hAnsi="Abadi"/>
          <w:b/>
          <w:bCs/>
          <w:i/>
          <w:iCs/>
          <w:sz w:val="28"/>
          <w:szCs w:val="28"/>
          <w:u w:val="single"/>
        </w:rPr>
        <w:t>ccesibilidad</w:t>
      </w:r>
      <w:r w:rsidRPr="00963085">
        <w:rPr>
          <w:rFonts w:ascii="Abadi" w:hAnsi="Abadi"/>
          <w:sz w:val="28"/>
          <w:szCs w:val="28"/>
        </w:rPr>
        <w:t xml:space="preserve"> y legibilidad, de forma que permita al consumidor y usuario</w:t>
      </w:r>
      <w:r>
        <w:rPr>
          <w:rFonts w:ascii="Abadi" w:hAnsi="Abadi"/>
          <w:sz w:val="28"/>
          <w:szCs w:val="28"/>
        </w:rPr>
        <w:t xml:space="preserve"> </w:t>
      </w:r>
      <w:r w:rsidRPr="00963085">
        <w:rPr>
          <w:rFonts w:ascii="Abadi" w:hAnsi="Abadi"/>
          <w:sz w:val="28"/>
          <w:szCs w:val="28"/>
        </w:rPr>
        <w:t>el conocimiento previo a la celebración del contrato sobre su existencia y</w:t>
      </w:r>
      <w:r>
        <w:rPr>
          <w:rFonts w:ascii="Abadi" w:hAnsi="Abadi"/>
          <w:sz w:val="28"/>
          <w:szCs w:val="28"/>
        </w:rPr>
        <w:t xml:space="preserve"> </w:t>
      </w:r>
      <w:r w:rsidRPr="00963085">
        <w:rPr>
          <w:rFonts w:ascii="Abadi" w:hAnsi="Abadi"/>
          <w:sz w:val="28"/>
          <w:szCs w:val="28"/>
        </w:rPr>
        <w:t>contenido</w:t>
      </w:r>
      <w:r>
        <w:rPr>
          <w:rFonts w:ascii="Abadi" w:hAnsi="Abadi"/>
          <w:sz w:val="28"/>
          <w:szCs w:val="28"/>
        </w:rPr>
        <w:t>”.</w:t>
      </w:r>
    </w:p>
    <w:p w14:paraId="6A8B73AD" w14:textId="62DD78C4" w:rsidR="00963085" w:rsidRDefault="00963085" w:rsidP="00963085">
      <w:pPr>
        <w:pStyle w:val="Sinespaciado"/>
        <w:jc w:val="both"/>
        <w:rPr>
          <w:rFonts w:ascii="Abadi" w:hAnsi="Abadi"/>
          <w:sz w:val="28"/>
          <w:szCs w:val="28"/>
        </w:rPr>
      </w:pPr>
    </w:p>
    <w:p w14:paraId="597419BE" w14:textId="51BFEBB7" w:rsidR="00D3504A" w:rsidRDefault="00D3504A" w:rsidP="00963085">
      <w:pPr>
        <w:pStyle w:val="Sinespaciado"/>
        <w:jc w:val="both"/>
        <w:rPr>
          <w:rFonts w:ascii="Abadi" w:hAnsi="Abadi"/>
          <w:sz w:val="28"/>
          <w:szCs w:val="28"/>
        </w:rPr>
      </w:pPr>
      <w:r>
        <w:rPr>
          <w:rFonts w:ascii="Abadi" w:hAnsi="Abadi"/>
          <w:sz w:val="28"/>
          <w:szCs w:val="28"/>
        </w:rPr>
        <w:t>Como conclusión, esta Ley avanza en una consideración específica de los consumidores con discapacidad robusteciendo su defensa y protección, dada su mayor exposición a la vulnerabilidad.</w:t>
      </w:r>
    </w:p>
    <w:p w14:paraId="2BC44832" w14:textId="77777777" w:rsidR="00D3504A" w:rsidRDefault="00D3504A" w:rsidP="00963085">
      <w:pPr>
        <w:pStyle w:val="Sinespaciado"/>
        <w:jc w:val="both"/>
        <w:rPr>
          <w:rFonts w:ascii="Abadi" w:hAnsi="Abadi"/>
          <w:sz w:val="28"/>
          <w:szCs w:val="28"/>
        </w:rPr>
      </w:pPr>
    </w:p>
    <w:p w14:paraId="0D2BC0EC" w14:textId="7390F4AB" w:rsidR="002B6440" w:rsidRDefault="002B6440" w:rsidP="002B6440">
      <w:pPr>
        <w:pStyle w:val="Sinespaciado"/>
        <w:jc w:val="both"/>
        <w:rPr>
          <w:rFonts w:ascii="Abadi" w:hAnsi="Abadi"/>
          <w:sz w:val="28"/>
          <w:szCs w:val="28"/>
        </w:rPr>
      </w:pPr>
      <w:r>
        <w:rPr>
          <w:rFonts w:ascii="Abadi" w:hAnsi="Abadi"/>
          <w:sz w:val="28"/>
          <w:szCs w:val="28"/>
        </w:rPr>
        <w:t>2 de marzo de 2022.</w:t>
      </w:r>
    </w:p>
    <w:p w14:paraId="0030ED0E" w14:textId="77777777" w:rsidR="002B6440" w:rsidRDefault="002B6440" w:rsidP="002B6440">
      <w:pPr>
        <w:pStyle w:val="Sinespaciado"/>
        <w:jc w:val="both"/>
        <w:rPr>
          <w:rFonts w:ascii="Abadi" w:hAnsi="Abadi"/>
          <w:sz w:val="28"/>
          <w:szCs w:val="28"/>
        </w:rPr>
      </w:pPr>
    </w:p>
    <w:p w14:paraId="7CB171D0" w14:textId="77777777" w:rsidR="002B6440" w:rsidRPr="002B6440" w:rsidRDefault="002B6440" w:rsidP="002B6440">
      <w:pPr>
        <w:pStyle w:val="Sinespaciado"/>
        <w:jc w:val="center"/>
        <w:rPr>
          <w:rFonts w:ascii="Abadi" w:hAnsi="Abadi"/>
          <w:b/>
          <w:bCs/>
          <w:sz w:val="28"/>
          <w:szCs w:val="28"/>
        </w:rPr>
      </w:pPr>
      <w:r w:rsidRPr="002B6440">
        <w:rPr>
          <w:rFonts w:ascii="Abadi" w:hAnsi="Abadi"/>
          <w:b/>
          <w:bCs/>
          <w:sz w:val="28"/>
          <w:szCs w:val="28"/>
        </w:rPr>
        <w:t>CERMI</w:t>
      </w:r>
    </w:p>
    <w:p w14:paraId="3488E82E" w14:textId="141C4C5E" w:rsidR="002B6440" w:rsidRPr="002B6440" w:rsidRDefault="002B6440" w:rsidP="002B6440">
      <w:pPr>
        <w:pStyle w:val="Sinespaciado"/>
        <w:jc w:val="center"/>
        <w:rPr>
          <w:rFonts w:ascii="Abadi" w:hAnsi="Abadi"/>
          <w:b/>
          <w:bCs/>
          <w:sz w:val="28"/>
          <w:szCs w:val="28"/>
        </w:rPr>
      </w:pPr>
      <w:hyperlink r:id="rId8" w:history="1">
        <w:r w:rsidRPr="002B6440">
          <w:rPr>
            <w:rStyle w:val="Hipervnculo"/>
            <w:rFonts w:ascii="Abadi" w:hAnsi="Abadi"/>
            <w:b/>
            <w:bCs/>
            <w:sz w:val="28"/>
            <w:szCs w:val="28"/>
          </w:rPr>
          <w:t>www.cermi.es</w:t>
        </w:r>
      </w:hyperlink>
    </w:p>
    <w:p w14:paraId="0787EE6C" w14:textId="29C2E2F0" w:rsidR="00C30E57" w:rsidRPr="002B6440" w:rsidRDefault="002B6440" w:rsidP="002B6440">
      <w:pPr>
        <w:pStyle w:val="Sinespaciado"/>
        <w:jc w:val="center"/>
        <w:rPr>
          <w:rFonts w:ascii="Abadi" w:hAnsi="Abadi"/>
          <w:b/>
          <w:bCs/>
          <w:sz w:val="28"/>
          <w:szCs w:val="28"/>
        </w:rPr>
      </w:pPr>
      <w:r w:rsidRPr="002B6440">
        <w:rPr>
          <w:rFonts w:ascii="Abadi" w:hAnsi="Abadi"/>
          <w:b/>
          <w:bCs/>
          <w:sz w:val="28"/>
          <w:szCs w:val="28"/>
        </w:rPr>
        <w:cr/>
      </w:r>
    </w:p>
    <w:sectPr w:rsidR="00C30E57" w:rsidRPr="002B644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202C" w14:textId="77777777" w:rsidR="003D68D2" w:rsidRDefault="003D68D2" w:rsidP="00CD1A45">
      <w:pPr>
        <w:spacing w:after="0" w:line="240" w:lineRule="auto"/>
      </w:pPr>
      <w:r>
        <w:separator/>
      </w:r>
    </w:p>
  </w:endnote>
  <w:endnote w:type="continuationSeparator" w:id="0">
    <w:p w14:paraId="5A2EAF06" w14:textId="77777777" w:rsidR="003D68D2" w:rsidRDefault="003D68D2" w:rsidP="00CD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78792"/>
      <w:docPartObj>
        <w:docPartGallery w:val="Page Numbers (Bottom of Page)"/>
        <w:docPartUnique/>
      </w:docPartObj>
    </w:sdtPr>
    <w:sdtContent>
      <w:p w14:paraId="0F6730BF" w14:textId="31C8CA59" w:rsidR="00CD1A45" w:rsidRDefault="00CD1A45">
        <w:pPr>
          <w:pStyle w:val="Piedepgina"/>
          <w:jc w:val="center"/>
        </w:pPr>
        <w:r>
          <w:fldChar w:fldCharType="begin"/>
        </w:r>
        <w:r>
          <w:instrText>PAGE   \* MERGEFORMAT</w:instrText>
        </w:r>
        <w:r>
          <w:fldChar w:fldCharType="separate"/>
        </w:r>
        <w:r>
          <w:t>2</w:t>
        </w:r>
        <w:r>
          <w:fldChar w:fldCharType="end"/>
        </w:r>
      </w:p>
    </w:sdtContent>
  </w:sdt>
  <w:p w14:paraId="24F2D3BD" w14:textId="77777777" w:rsidR="00CD1A45" w:rsidRDefault="00CD1A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65C5" w14:textId="77777777" w:rsidR="003D68D2" w:rsidRDefault="003D68D2" w:rsidP="00CD1A45">
      <w:pPr>
        <w:spacing w:after="0" w:line="240" w:lineRule="auto"/>
      </w:pPr>
      <w:r>
        <w:separator/>
      </w:r>
    </w:p>
  </w:footnote>
  <w:footnote w:type="continuationSeparator" w:id="0">
    <w:p w14:paraId="50A728DB" w14:textId="77777777" w:rsidR="003D68D2" w:rsidRDefault="003D68D2" w:rsidP="00CD1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B2"/>
    <w:rsid w:val="00075DDC"/>
    <w:rsid w:val="001209D6"/>
    <w:rsid w:val="002B6440"/>
    <w:rsid w:val="003D68D2"/>
    <w:rsid w:val="005638AD"/>
    <w:rsid w:val="00610571"/>
    <w:rsid w:val="00694F3D"/>
    <w:rsid w:val="00741C9C"/>
    <w:rsid w:val="008C7380"/>
    <w:rsid w:val="00963085"/>
    <w:rsid w:val="00B922FC"/>
    <w:rsid w:val="00B971B2"/>
    <w:rsid w:val="00C05D8C"/>
    <w:rsid w:val="00C30E57"/>
    <w:rsid w:val="00C934B7"/>
    <w:rsid w:val="00CD1A45"/>
    <w:rsid w:val="00D212F7"/>
    <w:rsid w:val="00D3504A"/>
    <w:rsid w:val="00DC008F"/>
    <w:rsid w:val="00E33F32"/>
    <w:rsid w:val="00FD7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6833"/>
  <w15:chartTrackingRefBased/>
  <w15:docId w15:val="{1B83DC34-A59C-43E0-B25C-171B3232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71B2"/>
    <w:pPr>
      <w:spacing w:after="0" w:line="240" w:lineRule="auto"/>
    </w:pPr>
  </w:style>
  <w:style w:type="character" w:styleId="Hipervnculo">
    <w:name w:val="Hyperlink"/>
    <w:basedOn w:val="Fuentedeprrafopredeter"/>
    <w:uiPriority w:val="99"/>
    <w:unhideWhenUsed/>
    <w:rsid w:val="00B971B2"/>
    <w:rPr>
      <w:color w:val="0563C1" w:themeColor="hyperlink"/>
      <w:u w:val="single"/>
    </w:rPr>
  </w:style>
  <w:style w:type="character" w:styleId="Mencinsinresolver">
    <w:name w:val="Unresolved Mention"/>
    <w:basedOn w:val="Fuentedeprrafopredeter"/>
    <w:uiPriority w:val="99"/>
    <w:semiHidden/>
    <w:unhideWhenUsed/>
    <w:rsid w:val="00B971B2"/>
    <w:rPr>
      <w:color w:val="605E5C"/>
      <w:shd w:val="clear" w:color="auto" w:fill="E1DFDD"/>
    </w:rPr>
  </w:style>
  <w:style w:type="paragraph" w:styleId="Encabezado">
    <w:name w:val="header"/>
    <w:basedOn w:val="Normal"/>
    <w:link w:val="EncabezadoCar"/>
    <w:uiPriority w:val="99"/>
    <w:unhideWhenUsed/>
    <w:rsid w:val="00CD1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A45"/>
  </w:style>
  <w:style w:type="paragraph" w:styleId="Piedepgina">
    <w:name w:val="footer"/>
    <w:basedOn w:val="Normal"/>
    <w:link w:val="PiedepginaCar"/>
    <w:uiPriority w:val="99"/>
    <w:unhideWhenUsed/>
    <w:rsid w:val="00CD1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webSettings" Target="webSettings.xml"/><Relationship Id="rId7" Type="http://schemas.openxmlformats.org/officeDocument/2006/relationships/hyperlink" Target="https://www.boe.es/boe/dias/2022/03/01/pdfs/BOE-A-2022-319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Luis Cayo Pérez Bueno</cp:lastModifiedBy>
  <cp:revision>14</cp:revision>
  <dcterms:created xsi:type="dcterms:W3CDTF">2022-03-02T19:53:00Z</dcterms:created>
  <dcterms:modified xsi:type="dcterms:W3CDTF">2022-03-02T21:32:00Z</dcterms:modified>
</cp:coreProperties>
</file>