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1C5E" w14:textId="77777777" w:rsidR="00A10A1F" w:rsidRDefault="000F336E" w:rsidP="000F336E">
      <w:pPr>
        <w:spacing w:before="31" w:line="241" w:lineRule="auto"/>
        <w:ind w:left="116" w:right="114"/>
        <w:jc w:val="center"/>
        <w:rPr>
          <w:rFonts w:eastAsia="Arial Nova" w:cstheme="minorHAnsi"/>
          <w:b/>
          <w:bCs/>
          <w:color w:val="000000" w:themeColor="text1"/>
          <w:spacing w:val="2"/>
          <w:sz w:val="28"/>
          <w:szCs w:val="28"/>
        </w:rPr>
      </w:pPr>
      <w:r w:rsidRPr="00DF248B">
        <w:rPr>
          <w:rFonts w:ascii="Abadi" w:hAnsi="Abadi"/>
          <w:noProof/>
          <w:lang w:eastAsia="es-ES"/>
        </w:rPr>
        <w:drawing>
          <wp:inline distT="0" distB="0" distL="0" distR="0" wp14:anchorId="6AD44A95" wp14:editId="38F4AB35">
            <wp:extent cx="1663200" cy="1080000"/>
            <wp:effectExtent l="0" t="0" r="0" b="6350"/>
            <wp:docPr id="2" name="Imagen 2" descr="Logotipo del CERMI 25 Aniver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del CERMI 25 Aniversar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200" cy="1080000"/>
                    </a:xfrm>
                    <a:prstGeom prst="rect">
                      <a:avLst/>
                    </a:prstGeom>
                    <a:noFill/>
                    <a:ln>
                      <a:noFill/>
                    </a:ln>
                  </pic:spPr>
                </pic:pic>
              </a:graphicData>
            </a:graphic>
          </wp:inline>
        </w:drawing>
      </w:r>
    </w:p>
    <w:p w14:paraId="5D282534" w14:textId="77777777" w:rsidR="000F336E" w:rsidRDefault="000F336E">
      <w:pPr>
        <w:spacing w:before="31" w:line="241" w:lineRule="auto"/>
        <w:ind w:left="116" w:right="114"/>
        <w:jc w:val="both"/>
        <w:rPr>
          <w:rFonts w:eastAsia="Arial Nova" w:cstheme="minorHAnsi"/>
          <w:b/>
          <w:bCs/>
          <w:color w:val="000000" w:themeColor="text1"/>
          <w:spacing w:val="2"/>
          <w:sz w:val="28"/>
          <w:szCs w:val="28"/>
        </w:rPr>
      </w:pPr>
    </w:p>
    <w:p w14:paraId="68281AAC" w14:textId="6CD3382D" w:rsidR="000536D8" w:rsidRPr="00891A36" w:rsidRDefault="00F5151B">
      <w:pPr>
        <w:spacing w:before="31" w:line="241" w:lineRule="auto"/>
        <w:ind w:left="116" w:right="114"/>
        <w:jc w:val="both"/>
        <w:rPr>
          <w:rFonts w:eastAsia="Arial Nova" w:cstheme="minorHAnsi"/>
          <w:b/>
          <w:bCs/>
          <w:color w:val="002060"/>
          <w:spacing w:val="36"/>
          <w:sz w:val="32"/>
          <w:szCs w:val="32"/>
        </w:rPr>
      </w:pPr>
      <w:r w:rsidRPr="00891A36">
        <w:rPr>
          <w:rFonts w:eastAsia="Arial Nova" w:cstheme="minorHAnsi"/>
          <w:b/>
          <w:bCs/>
          <w:color w:val="002060"/>
          <w:spacing w:val="2"/>
          <w:sz w:val="32"/>
          <w:szCs w:val="32"/>
        </w:rPr>
        <w:t>Propuesta</w:t>
      </w:r>
      <w:r w:rsidR="000536D8" w:rsidRPr="00891A36">
        <w:rPr>
          <w:rFonts w:eastAsia="Arial Nova" w:cstheme="minorHAnsi"/>
          <w:b/>
          <w:bCs/>
          <w:color w:val="002060"/>
          <w:spacing w:val="2"/>
          <w:sz w:val="32"/>
          <w:szCs w:val="32"/>
        </w:rPr>
        <w:t xml:space="preserve"> de Enmiendas del </w:t>
      </w:r>
      <w:r w:rsidR="001F24DC" w:rsidRPr="00891A36">
        <w:rPr>
          <w:rFonts w:eastAsia="Arial Nova" w:cstheme="minorHAnsi"/>
          <w:b/>
          <w:bCs/>
          <w:color w:val="002060"/>
          <w:spacing w:val="2"/>
          <w:sz w:val="32"/>
          <w:szCs w:val="32"/>
        </w:rPr>
        <w:t>M</w:t>
      </w:r>
      <w:r w:rsidR="000536D8" w:rsidRPr="00891A36">
        <w:rPr>
          <w:rFonts w:eastAsia="Arial Nova" w:cstheme="minorHAnsi"/>
          <w:b/>
          <w:bCs/>
          <w:color w:val="002060"/>
          <w:spacing w:val="2"/>
          <w:sz w:val="32"/>
          <w:szCs w:val="32"/>
        </w:rPr>
        <w:t xml:space="preserve">ovimiento CERMI al Proyecto de Ley </w:t>
      </w:r>
      <w:r w:rsidR="002C2A80">
        <w:rPr>
          <w:rFonts w:eastAsia="Arial Nova" w:cstheme="minorHAnsi"/>
          <w:b/>
          <w:bCs/>
          <w:color w:val="002060"/>
          <w:spacing w:val="2"/>
          <w:sz w:val="32"/>
          <w:szCs w:val="32"/>
        </w:rPr>
        <w:t>de Medidas de Eficiencia Digital del Servicio Público de Justicia</w:t>
      </w:r>
      <w:r w:rsidR="00BD1220">
        <w:rPr>
          <w:rFonts w:eastAsia="Arial Nova" w:cstheme="minorHAnsi"/>
          <w:b/>
          <w:bCs/>
          <w:color w:val="002060"/>
          <w:spacing w:val="2"/>
          <w:sz w:val="32"/>
          <w:szCs w:val="32"/>
        </w:rPr>
        <w:t xml:space="preserve"> -</w:t>
      </w:r>
      <w:r w:rsidR="000536D8" w:rsidRPr="00891A36">
        <w:rPr>
          <w:rFonts w:eastAsia="Arial Nova" w:cstheme="minorHAnsi"/>
          <w:b/>
          <w:bCs/>
          <w:color w:val="002060"/>
          <w:spacing w:val="2"/>
          <w:sz w:val="32"/>
          <w:szCs w:val="32"/>
        </w:rPr>
        <w:t xml:space="preserve"> Trámite del Congreso de los Diputados</w:t>
      </w:r>
    </w:p>
    <w:p w14:paraId="65943011" w14:textId="77777777" w:rsidR="000536D8" w:rsidRPr="00891A36" w:rsidRDefault="00000000">
      <w:pPr>
        <w:spacing w:before="31" w:line="241" w:lineRule="auto"/>
        <w:ind w:left="116" w:right="114"/>
        <w:jc w:val="both"/>
        <w:rPr>
          <w:rFonts w:eastAsia="Arial Nova" w:cstheme="minorHAnsi"/>
          <w:b/>
          <w:bCs/>
          <w:color w:val="000000" w:themeColor="text1"/>
          <w:spacing w:val="36"/>
          <w:sz w:val="24"/>
          <w:szCs w:val="24"/>
        </w:rPr>
      </w:pPr>
      <w:r>
        <w:rPr>
          <w:rFonts w:eastAsia="Arial Nova" w:cstheme="minorHAnsi"/>
          <w:b/>
          <w:bCs/>
          <w:color w:val="000000" w:themeColor="text1"/>
          <w:spacing w:val="36"/>
          <w:sz w:val="24"/>
          <w:szCs w:val="24"/>
        </w:rPr>
        <w:pict w14:anchorId="05611BF2">
          <v:rect id="_x0000_i1025" style="width:0;height:1.5pt" o:hralign="center" o:hrstd="t" o:hr="t" fillcolor="#a0a0a0" stroked="f"/>
        </w:pict>
      </w:r>
    </w:p>
    <w:p w14:paraId="3368BBD0" w14:textId="77777777" w:rsidR="002C2A80" w:rsidRDefault="002C2A80" w:rsidP="00885F72">
      <w:pPr>
        <w:ind w:left="116"/>
        <w:jc w:val="both"/>
        <w:rPr>
          <w:rFonts w:cstheme="minorHAnsi"/>
          <w:bCs/>
          <w:sz w:val="24"/>
          <w:szCs w:val="24"/>
        </w:rPr>
      </w:pPr>
    </w:p>
    <w:p w14:paraId="35E8F9BA" w14:textId="1F4C0889" w:rsidR="002C2A80" w:rsidRPr="00891A36" w:rsidRDefault="002C2A80" w:rsidP="002C2A80">
      <w:pPr>
        <w:ind w:left="116"/>
        <w:jc w:val="both"/>
        <w:rPr>
          <w:rFonts w:cstheme="minorHAnsi"/>
          <w:b/>
          <w:bCs/>
          <w:sz w:val="24"/>
          <w:szCs w:val="24"/>
          <w:u w:val="single"/>
        </w:rPr>
      </w:pPr>
      <w:r w:rsidRPr="00891A36">
        <w:rPr>
          <w:rFonts w:cstheme="minorHAnsi"/>
          <w:sz w:val="24"/>
          <w:szCs w:val="24"/>
        </w:rPr>
        <w:t xml:space="preserve">Desde el Comité Español de Representantes de Personas con Discapacidad (CERMI) se formulan a los Grupos Parlamentarios del Congreso de los Diputados las siguientes propuestas de enmiendas al Proyecto de Ley de </w:t>
      </w:r>
      <w:r>
        <w:rPr>
          <w:rFonts w:cstheme="minorHAnsi"/>
          <w:sz w:val="24"/>
          <w:szCs w:val="24"/>
        </w:rPr>
        <w:t>M</w:t>
      </w:r>
      <w:r w:rsidRPr="00891A36">
        <w:rPr>
          <w:rFonts w:cstheme="minorHAnsi"/>
          <w:sz w:val="24"/>
          <w:szCs w:val="24"/>
        </w:rPr>
        <w:t xml:space="preserve">edidas de </w:t>
      </w:r>
      <w:r w:rsidRPr="002C2A80">
        <w:rPr>
          <w:rFonts w:cstheme="minorHAnsi"/>
          <w:sz w:val="24"/>
          <w:szCs w:val="24"/>
        </w:rPr>
        <w:t xml:space="preserve">Eficiencia Digital </w:t>
      </w:r>
      <w:r w:rsidRPr="00891A36">
        <w:rPr>
          <w:rFonts w:cstheme="minorHAnsi"/>
          <w:sz w:val="24"/>
          <w:szCs w:val="24"/>
        </w:rPr>
        <w:t xml:space="preserve">del </w:t>
      </w:r>
      <w:r>
        <w:rPr>
          <w:rFonts w:cstheme="minorHAnsi"/>
          <w:sz w:val="24"/>
          <w:szCs w:val="24"/>
        </w:rPr>
        <w:t>S</w:t>
      </w:r>
      <w:r w:rsidRPr="00891A36">
        <w:rPr>
          <w:rFonts w:cstheme="minorHAnsi"/>
          <w:sz w:val="24"/>
          <w:szCs w:val="24"/>
        </w:rPr>
        <w:t xml:space="preserve">ervicio </w:t>
      </w:r>
      <w:r>
        <w:rPr>
          <w:rFonts w:cstheme="minorHAnsi"/>
          <w:sz w:val="24"/>
          <w:szCs w:val="24"/>
        </w:rPr>
        <w:t>P</w:t>
      </w:r>
      <w:r w:rsidRPr="00891A36">
        <w:rPr>
          <w:rFonts w:cstheme="minorHAnsi"/>
          <w:sz w:val="24"/>
          <w:szCs w:val="24"/>
        </w:rPr>
        <w:t>úblico de Justicia</w:t>
      </w:r>
      <w:r>
        <w:rPr>
          <w:rFonts w:cstheme="minorHAnsi"/>
          <w:sz w:val="24"/>
          <w:szCs w:val="24"/>
        </w:rPr>
        <w:t xml:space="preserve">. </w:t>
      </w:r>
    </w:p>
    <w:p w14:paraId="35D48B18" w14:textId="77777777" w:rsidR="002C2A80" w:rsidRDefault="002C2A80" w:rsidP="00885F72">
      <w:pPr>
        <w:ind w:left="116"/>
        <w:jc w:val="both"/>
        <w:rPr>
          <w:rFonts w:cstheme="minorHAnsi"/>
          <w:bCs/>
          <w:sz w:val="24"/>
          <w:szCs w:val="24"/>
        </w:rPr>
      </w:pPr>
    </w:p>
    <w:p w14:paraId="19887124" w14:textId="3D9F9063" w:rsidR="00697601" w:rsidRPr="00697601" w:rsidRDefault="00697601" w:rsidP="00697601">
      <w:pPr>
        <w:ind w:left="116"/>
        <w:jc w:val="both"/>
        <w:rPr>
          <w:rFonts w:cstheme="minorHAnsi"/>
          <w:bCs/>
          <w:sz w:val="24"/>
          <w:szCs w:val="24"/>
        </w:rPr>
      </w:pPr>
      <w:r w:rsidRPr="00697601">
        <w:rPr>
          <w:rFonts w:cstheme="minorHAnsi"/>
          <w:bCs/>
          <w:sz w:val="24"/>
          <w:szCs w:val="24"/>
        </w:rPr>
        <w:t xml:space="preserve">El movimiento CERMI acoge de modo favorable esta legislación, que </w:t>
      </w:r>
      <w:r>
        <w:rPr>
          <w:rFonts w:cstheme="minorHAnsi"/>
          <w:bCs/>
          <w:sz w:val="24"/>
          <w:szCs w:val="24"/>
        </w:rPr>
        <w:t xml:space="preserve">complementa otras normas esenciales para la protección y garantías de derechos de las personas con discapacidad </w:t>
      </w:r>
      <w:r w:rsidR="002C2A80">
        <w:rPr>
          <w:rFonts w:cstheme="minorHAnsi"/>
          <w:bCs/>
          <w:sz w:val="24"/>
          <w:szCs w:val="24"/>
        </w:rPr>
        <w:t xml:space="preserve">usuarias </w:t>
      </w:r>
      <w:r w:rsidR="00831C92">
        <w:rPr>
          <w:rFonts w:cstheme="minorHAnsi"/>
          <w:bCs/>
          <w:sz w:val="24"/>
          <w:szCs w:val="24"/>
        </w:rPr>
        <w:t>de dicho servicio</w:t>
      </w:r>
      <w:r w:rsidRPr="00697601">
        <w:rPr>
          <w:rFonts w:cstheme="minorHAnsi"/>
          <w:bCs/>
          <w:sz w:val="24"/>
          <w:szCs w:val="24"/>
        </w:rPr>
        <w:t xml:space="preserve">. </w:t>
      </w:r>
    </w:p>
    <w:p w14:paraId="22692136" w14:textId="77777777" w:rsidR="00697601" w:rsidRPr="00697601" w:rsidRDefault="00697601" w:rsidP="00697601">
      <w:pPr>
        <w:ind w:left="116"/>
        <w:jc w:val="both"/>
        <w:rPr>
          <w:rFonts w:cstheme="minorHAnsi"/>
          <w:bCs/>
          <w:sz w:val="24"/>
          <w:szCs w:val="24"/>
        </w:rPr>
      </w:pPr>
    </w:p>
    <w:p w14:paraId="662023C4" w14:textId="7E4C0ED4" w:rsidR="002C2A80" w:rsidRDefault="00697601" w:rsidP="00697601">
      <w:pPr>
        <w:ind w:left="116"/>
        <w:jc w:val="both"/>
        <w:rPr>
          <w:rFonts w:cstheme="minorHAnsi"/>
          <w:bCs/>
          <w:sz w:val="24"/>
          <w:szCs w:val="24"/>
        </w:rPr>
      </w:pPr>
      <w:r w:rsidRPr="00697601">
        <w:rPr>
          <w:rFonts w:cstheme="minorHAnsi"/>
          <w:bCs/>
          <w:sz w:val="24"/>
          <w:szCs w:val="24"/>
        </w:rPr>
        <w:t xml:space="preserve">En este documento, el CERMI formula mejoras concretas al articulado, </w:t>
      </w:r>
      <w:r w:rsidR="002C2A80">
        <w:rPr>
          <w:rFonts w:cstheme="minorHAnsi"/>
          <w:bCs/>
          <w:sz w:val="24"/>
          <w:szCs w:val="24"/>
        </w:rPr>
        <w:t xml:space="preserve">a través de enmiendas </w:t>
      </w:r>
      <w:r w:rsidR="002C2A80" w:rsidRPr="002C2A80">
        <w:rPr>
          <w:rFonts w:cstheme="minorHAnsi"/>
          <w:bCs/>
          <w:sz w:val="24"/>
          <w:szCs w:val="24"/>
        </w:rPr>
        <w:t xml:space="preserve">orientadas a mejorar determinados aspectos del Proyecto de Ley desde la perspectiva del acceso y disfrute del </w:t>
      </w:r>
      <w:r w:rsidR="00831C92">
        <w:rPr>
          <w:rFonts w:cstheme="minorHAnsi"/>
          <w:bCs/>
          <w:sz w:val="24"/>
          <w:szCs w:val="24"/>
        </w:rPr>
        <w:t>S</w:t>
      </w:r>
      <w:r w:rsidR="002C2A80" w:rsidRPr="002C2A80">
        <w:rPr>
          <w:rFonts w:cstheme="minorHAnsi"/>
          <w:bCs/>
          <w:sz w:val="24"/>
          <w:szCs w:val="24"/>
        </w:rPr>
        <w:t xml:space="preserve">ervicio </w:t>
      </w:r>
      <w:r w:rsidR="00831C92">
        <w:rPr>
          <w:rFonts w:cstheme="minorHAnsi"/>
          <w:bCs/>
          <w:sz w:val="24"/>
          <w:szCs w:val="24"/>
        </w:rPr>
        <w:t>P</w:t>
      </w:r>
      <w:r w:rsidR="002C2A80" w:rsidRPr="002C2A80">
        <w:rPr>
          <w:rFonts w:cstheme="minorHAnsi"/>
          <w:bCs/>
          <w:sz w:val="24"/>
          <w:szCs w:val="24"/>
        </w:rPr>
        <w:t xml:space="preserve">úblico de </w:t>
      </w:r>
      <w:r w:rsidR="00831C92">
        <w:rPr>
          <w:rFonts w:cstheme="minorHAnsi"/>
          <w:bCs/>
          <w:sz w:val="24"/>
          <w:szCs w:val="24"/>
        </w:rPr>
        <w:t>J</w:t>
      </w:r>
      <w:r w:rsidR="002C2A80" w:rsidRPr="002C2A80">
        <w:rPr>
          <w:rFonts w:cstheme="minorHAnsi"/>
          <w:bCs/>
          <w:sz w:val="24"/>
          <w:szCs w:val="24"/>
        </w:rPr>
        <w:t xml:space="preserve">usticia por parte de las personas con discapacidad y </w:t>
      </w:r>
      <w:r w:rsidR="00831C92">
        <w:rPr>
          <w:rFonts w:cstheme="minorHAnsi"/>
          <w:bCs/>
          <w:sz w:val="24"/>
          <w:szCs w:val="24"/>
        </w:rPr>
        <w:t xml:space="preserve">de </w:t>
      </w:r>
      <w:r w:rsidR="002C2A80" w:rsidRPr="002C2A80">
        <w:rPr>
          <w:rFonts w:cstheme="minorHAnsi"/>
          <w:bCs/>
          <w:sz w:val="24"/>
          <w:szCs w:val="24"/>
        </w:rPr>
        <w:t>sus familias.</w:t>
      </w:r>
    </w:p>
    <w:p w14:paraId="495CE913" w14:textId="77777777" w:rsidR="002C2A80" w:rsidRDefault="002C2A80" w:rsidP="00697601">
      <w:pPr>
        <w:ind w:left="116"/>
        <w:jc w:val="both"/>
        <w:rPr>
          <w:rFonts w:cstheme="minorHAnsi"/>
          <w:bCs/>
          <w:sz w:val="24"/>
          <w:szCs w:val="24"/>
        </w:rPr>
      </w:pPr>
    </w:p>
    <w:p w14:paraId="3B942157" w14:textId="77777777" w:rsidR="00A616AD" w:rsidRPr="00A616AD" w:rsidRDefault="00A616AD" w:rsidP="0059380A">
      <w:pPr>
        <w:ind w:left="116"/>
        <w:jc w:val="both"/>
        <w:rPr>
          <w:rFonts w:cstheme="minorHAnsi"/>
          <w:sz w:val="24"/>
          <w:szCs w:val="24"/>
        </w:rPr>
      </w:pPr>
    </w:p>
    <w:p w14:paraId="06A27BBB" w14:textId="0ECE2CFA" w:rsidR="0059380A" w:rsidRPr="003D0859" w:rsidRDefault="009D0536" w:rsidP="0059380A">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59380A" w:rsidRPr="003D0859">
        <w:rPr>
          <w:rFonts w:cstheme="minorHAnsi"/>
          <w:b/>
          <w:bCs/>
          <w:sz w:val="28"/>
          <w:szCs w:val="28"/>
        </w:rPr>
        <w:t xml:space="preserve">ª Enmienda - De </w:t>
      </w:r>
      <w:r w:rsidR="00A616AD">
        <w:rPr>
          <w:rFonts w:cstheme="minorHAnsi"/>
          <w:b/>
          <w:bCs/>
          <w:sz w:val="28"/>
          <w:szCs w:val="28"/>
        </w:rPr>
        <w:t>supres</w:t>
      </w:r>
      <w:r w:rsidR="0059380A" w:rsidRPr="003D0859">
        <w:rPr>
          <w:rFonts w:cstheme="minorHAnsi"/>
          <w:b/>
          <w:bCs/>
          <w:sz w:val="28"/>
          <w:szCs w:val="28"/>
        </w:rPr>
        <w:t xml:space="preserve">ión – </w:t>
      </w:r>
      <w:r w:rsidR="00A616AD">
        <w:rPr>
          <w:rFonts w:cstheme="minorHAnsi"/>
          <w:b/>
          <w:bCs/>
          <w:sz w:val="28"/>
          <w:szCs w:val="28"/>
        </w:rPr>
        <w:t>Exposición de Motivos, Capítulo IV</w:t>
      </w:r>
    </w:p>
    <w:p w14:paraId="227165A4" w14:textId="271071AF" w:rsidR="0059380A" w:rsidRDefault="0059380A" w:rsidP="0059380A">
      <w:pPr>
        <w:ind w:left="116"/>
        <w:jc w:val="both"/>
        <w:rPr>
          <w:rFonts w:cstheme="minorHAnsi"/>
          <w:b/>
          <w:bCs/>
          <w:sz w:val="24"/>
          <w:szCs w:val="24"/>
          <w:u w:val="single"/>
        </w:rPr>
      </w:pPr>
    </w:p>
    <w:p w14:paraId="5F9F2F87" w14:textId="23E63A73" w:rsidR="00A616AD" w:rsidRPr="00A616AD" w:rsidRDefault="00A616AD" w:rsidP="00A616AD">
      <w:pPr>
        <w:ind w:left="113"/>
        <w:contextualSpacing/>
        <w:jc w:val="both"/>
        <w:rPr>
          <w:rFonts w:cstheme="minorHAnsi"/>
          <w:b/>
          <w:bCs/>
          <w:sz w:val="24"/>
          <w:szCs w:val="24"/>
          <w:u w:val="single"/>
        </w:rPr>
      </w:pPr>
      <w:r w:rsidRPr="00A616AD">
        <w:rPr>
          <w:color w:val="000000"/>
          <w:sz w:val="24"/>
          <w:szCs w:val="24"/>
        </w:rPr>
        <w:t xml:space="preserve">La transformación digital de la Justicia favorece y posibilita una Justicia más próxima y accesible, pero ello no es neutro desde el punto de vista social y económico, pudiendo identificarse, entre otros, un impacto de género, educativo, geográfico, económico, de edad, o por razón de discapacidad. Será necesario, pues, que, desde el mismo momento del diseño de los sistemas informáticos de Justicia, se aborde específicamente cuáles son, sobre quiénes se produce y por qué surge cada tipo de brecha, y, a través de este análisis, se dispongan los mecanismos necesarios para su eliminación </w:t>
      </w:r>
      <w:r w:rsidRPr="00CE17BE">
        <w:rPr>
          <w:b/>
          <w:bCs/>
          <w:dstrike/>
          <w:color w:val="FF0000"/>
          <w:sz w:val="24"/>
          <w:szCs w:val="24"/>
          <w:u w:val="single"/>
        </w:rPr>
        <w:t>o reducción</w:t>
      </w:r>
      <w:r w:rsidRPr="00A616AD">
        <w:rPr>
          <w:color w:val="000000"/>
          <w:sz w:val="24"/>
          <w:szCs w:val="24"/>
        </w:rPr>
        <w:t>.</w:t>
      </w:r>
    </w:p>
    <w:p w14:paraId="0E5A86EB" w14:textId="674DBFF6" w:rsidR="00A616AD" w:rsidRDefault="00A616AD" w:rsidP="0059380A">
      <w:pPr>
        <w:ind w:left="116"/>
        <w:jc w:val="both"/>
        <w:rPr>
          <w:rFonts w:cstheme="minorHAnsi"/>
          <w:b/>
          <w:bCs/>
          <w:sz w:val="24"/>
          <w:szCs w:val="24"/>
          <w:u w:val="single"/>
        </w:rPr>
      </w:pPr>
    </w:p>
    <w:p w14:paraId="78ABD26E" w14:textId="77777777" w:rsidR="00A616AD" w:rsidRPr="00A616AD" w:rsidRDefault="00A616AD" w:rsidP="00A616AD">
      <w:pPr>
        <w:ind w:left="116"/>
        <w:jc w:val="both"/>
        <w:rPr>
          <w:rFonts w:eastAsia="Arial Nova" w:cstheme="minorHAnsi"/>
          <w:iCs/>
          <w:sz w:val="24"/>
          <w:szCs w:val="24"/>
          <w:u w:val="single"/>
        </w:rPr>
      </w:pPr>
      <w:r w:rsidRPr="00A616AD">
        <w:rPr>
          <w:rFonts w:eastAsia="Arial Nova" w:cstheme="minorHAnsi"/>
          <w:iCs/>
          <w:sz w:val="24"/>
          <w:szCs w:val="24"/>
          <w:u w:val="single"/>
        </w:rPr>
        <w:t>Justificación</w:t>
      </w:r>
    </w:p>
    <w:p w14:paraId="72B4BEAB" w14:textId="77777777" w:rsidR="00A616AD" w:rsidRPr="00885F72" w:rsidRDefault="00A616AD" w:rsidP="00A616AD">
      <w:pPr>
        <w:ind w:left="116"/>
        <w:jc w:val="both"/>
        <w:rPr>
          <w:rFonts w:cstheme="minorHAnsi"/>
          <w:bCs/>
          <w:i/>
          <w:sz w:val="24"/>
          <w:szCs w:val="24"/>
        </w:rPr>
      </w:pPr>
    </w:p>
    <w:p w14:paraId="1B0397F1" w14:textId="7BCC388D" w:rsidR="00A616AD" w:rsidRPr="00A616AD" w:rsidRDefault="00A616AD" w:rsidP="00A616AD">
      <w:pPr>
        <w:ind w:left="116"/>
        <w:jc w:val="both"/>
        <w:rPr>
          <w:rFonts w:cstheme="minorHAnsi"/>
          <w:bCs/>
          <w:iCs/>
          <w:sz w:val="24"/>
          <w:szCs w:val="24"/>
        </w:rPr>
      </w:pPr>
      <w:r w:rsidRPr="00A616AD">
        <w:rPr>
          <w:rFonts w:cstheme="minorHAnsi"/>
          <w:bCs/>
          <w:iCs/>
          <w:sz w:val="24"/>
          <w:szCs w:val="24"/>
        </w:rPr>
        <w:t xml:space="preserve">Se propone </w:t>
      </w:r>
      <w:r>
        <w:rPr>
          <w:rFonts w:cstheme="minorHAnsi"/>
          <w:bCs/>
          <w:iCs/>
          <w:sz w:val="24"/>
          <w:szCs w:val="24"/>
        </w:rPr>
        <w:t xml:space="preserve">eliminar la palabra reducción de la brecha digital, al considerar con rotundidad que la brecha digital debe eliminarse completamente. No se entendería un acceso al servicio público de justicia en igualdad de condiciones si existiese cualquier atisbo de barrera motivada por la brecha digital. Por ello, cualquier mecanismo dirigido a la transformación </w:t>
      </w:r>
      <w:r>
        <w:rPr>
          <w:rFonts w:cstheme="minorHAnsi"/>
          <w:bCs/>
          <w:iCs/>
          <w:sz w:val="24"/>
          <w:szCs w:val="24"/>
        </w:rPr>
        <w:lastRenderedPageBreak/>
        <w:t xml:space="preserve">digital del </w:t>
      </w:r>
      <w:r w:rsidR="00831C92">
        <w:rPr>
          <w:rFonts w:cstheme="minorHAnsi"/>
          <w:bCs/>
          <w:iCs/>
          <w:sz w:val="24"/>
          <w:szCs w:val="24"/>
        </w:rPr>
        <w:t>S</w:t>
      </w:r>
      <w:r>
        <w:rPr>
          <w:rFonts w:cstheme="minorHAnsi"/>
          <w:bCs/>
          <w:iCs/>
          <w:sz w:val="24"/>
          <w:szCs w:val="24"/>
        </w:rPr>
        <w:t xml:space="preserve">ervicio </w:t>
      </w:r>
      <w:r w:rsidR="00831C92">
        <w:rPr>
          <w:rFonts w:cstheme="minorHAnsi"/>
          <w:bCs/>
          <w:iCs/>
          <w:sz w:val="24"/>
          <w:szCs w:val="24"/>
        </w:rPr>
        <w:t>P</w:t>
      </w:r>
      <w:r>
        <w:rPr>
          <w:rFonts w:cstheme="minorHAnsi"/>
          <w:bCs/>
          <w:iCs/>
          <w:sz w:val="24"/>
          <w:szCs w:val="24"/>
        </w:rPr>
        <w:t xml:space="preserve">úblico de </w:t>
      </w:r>
      <w:r w:rsidR="00831C92">
        <w:rPr>
          <w:rFonts w:cstheme="minorHAnsi"/>
          <w:bCs/>
          <w:iCs/>
          <w:sz w:val="24"/>
          <w:szCs w:val="24"/>
        </w:rPr>
        <w:t>J</w:t>
      </w:r>
      <w:r>
        <w:rPr>
          <w:rFonts w:cstheme="minorHAnsi"/>
          <w:bCs/>
          <w:iCs/>
          <w:sz w:val="24"/>
          <w:szCs w:val="24"/>
        </w:rPr>
        <w:t>usticia debe diseñarse e implantarse en condiciones que garanticen la eliminación de toda brecha digital contra las personas con discapacidad.</w:t>
      </w:r>
    </w:p>
    <w:p w14:paraId="2CCA2A64" w14:textId="62C918FD" w:rsidR="00A616AD" w:rsidRDefault="00A616AD" w:rsidP="0059380A">
      <w:pPr>
        <w:ind w:left="116"/>
        <w:jc w:val="both"/>
        <w:rPr>
          <w:rFonts w:cstheme="minorHAnsi"/>
          <w:b/>
          <w:bCs/>
          <w:sz w:val="24"/>
          <w:szCs w:val="24"/>
          <w:u w:val="single"/>
        </w:rPr>
      </w:pPr>
    </w:p>
    <w:p w14:paraId="57D099DF" w14:textId="77777777" w:rsidR="00A616AD" w:rsidRPr="00891A36" w:rsidRDefault="00A616AD" w:rsidP="0059380A">
      <w:pPr>
        <w:ind w:left="116"/>
        <w:jc w:val="both"/>
        <w:rPr>
          <w:rFonts w:cstheme="minorHAnsi"/>
          <w:b/>
          <w:bCs/>
          <w:sz w:val="24"/>
          <w:szCs w:val="24"/>
          <w:u w:val="single"/>
        </w:rPr>
      </w:pPr>
    </w:p>
    <w:p w14:paraId="19CBEBB6" w14:textId="11C3D289" w:rsidR="009D0536" w:rsidRPr="003D0859" w:rsidRDefault="009D0536"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2</w:t>
      </w:r>
      <w:r w:rsidRPr="003D0859">
        <w:rPr>
          <w:rFonts w:cstheme="minorHAnsi"/>
          <w:b/>
          <w:bCs/>
          <w:sz w:val="28"/>
          <w:szCs w:val="28"/>
        </w:rPr>
        <w:t xml:space="preserve">ª Enmienda - De </w:t>
      </w:r>
      <w:r w:rsidR="00E97C17">
        <w:rPr>
          <w:rFonts w:cstheme="minorHAnsi"/>
          <w:b/>
          <w:bCs/>
          <w:sz w:val="28"/>
          <w:szCs w:val="28"/>
        </w:rPr>
        <w:t>adición</w:t>
      </w:r>
      <w:r w:rsidRPr="003D0859">
        <w:rPr>
          <w:rFonts w:cstheme="minorHAnsi"/>
          <w:b/>
          <w:bCs/>
          <w:sz w:val="28"/>
          <w:szCs w:val="28"/>
        </w:rPr>
        <w:t xml:space="preserve"> – </w:t>
      </w:r>
      <w:r>
        <w:rPr>
          <w:rFonts w:cstheme="minorHAnsi"/>
          <w:b/>
          <w:bCs/>
          <w:sz w:val="28"/>
          <w:szCs w:val="28"/>
        </w:rPr>
        <w:t xml:space="preserve">Artículo </w:t>
      </w:r>
      <w:r w:rsidR="00E97C17">
        <w:rPr>
          <w:rFonts w:cstheme="minorHAnsi"/>
          <w:b/>
          <w:bCs/>
          <w:sz w:val="28"/>
          <w:szCs w:val="28"/>
        </w:rPr>
        <w:t>3</w:t>
      </w:r>
      <w:r>
        <w:rPr>
          <w:rFonts w:cstheme="minorHAnsi"/>
          <w:b/>
          <w:bCs/>
          <w:sz w:val="28"/>
          <w:szCs w:val="28"/>
        </w:rPr>
        <w:t xml:space="preserve">, </w:t>
      </w:r>
      <w:r w:rsidR="00E97C17">
        <w:rPr>
          <w:rFonts w:cstheme="minorHAnsi"/>
          <w:b/>
          <w:bCs/>
          <w:sz w:val="28"/>
          <w:szCs w:val="28"/>
        </w:rPr>
        <w:t>nuevo numeral 9</w:t>
      </w:r>
    </w:p>
    <w:p w14:paraId="3F1E6974" w14:textId="432A5D0F" w:rsidR="009D0536" w:rsidRDefault="009D0536" w:rsidP="009D0536">
      <w:pPr>
        <w:ind w:left="116"/>
        <w:jc w:val="both"/>
        <w:rPr>
          <w:rFonts w:cstheme="minorHAnsi"/>
          <w:b/>
          <w:bCs/>
          <w:sz w:val="24"/>
          <w:szCs w:val="24"/>
          <w:u w:val="single"/>
        </w:rPr>
      </w:pPr>
    </w:p>
    <w:p w14:paraId="4B40D639" w14:textId="0BCA8B4D" w:rsidR="00CE17BE" w:rsidRPr="00CE17BE" w:rsidRDefault="00CE17BE" w:rsidP="009D0536">
      <w:pPr>
        <w:ind w:left="116"/>
        <w:jc w:val="both"/>
        <w:rPr>
          <w:rFonts w:cstheme="minorHAnsi"/>
          <w:b/>
          <w:bCs/>
          <w:sz w:val="24"/>
          <w:szCs w:val="24"/>
          <w:u w:val="single"/>
        </w:rPr>
      </w:pPr>
      <w:r w:rsidRPr="00CE17BE">
        <w:rPr>
          <w:color w:val="000000"/>
          <w:sz w:val="24"/>
          <w:szCs w:val="24"/>
        </w:rPr>
        <w:t>La digitalización de la Justicia precisa de un modelo de coordinación y decisión basado en la cogobernanza y el diálogo horizontal</w:t>
      </w:r>
      <w:r>
        <w:rPr>
          <w:color w:val="000000"/>
          <w:sz w:val="24"/>
          <w:szCs w:val="24"/>
        </w:rPr>
        <w:t xml:space="preserve"> </w:t>
      </w:r>
      <w:r w:rsidRPr="00CE17BE">
        <w:rPr>
          <w:b/>
          <w:bCs/>
          <w:color w:val="FF0000"/>
          <w:sz w:val="24"/>
          <w:szCs w:val="24"/>
          <w:u w:val="single"/>
        </w:rPr>
        <w:t xml:space="preserve">que cuente con la participación de las </w:t>
      </w:r>
      <w:r>
        <w:rPr>
          <w:b/>
          <w:bCs/>
          <w:color w:val="FF0000"/>
          <w:sz w:val="24"/>
          <w:szCs w:val="24"/>
          <w:u w:val="single"/>
        </w:rPr>
        <w:t xml:space="preserve">personas con discapacidad y de sus </w:t>
      </w:r>
      <w:r w:rsidRPr="00CE17BE">
        <w:rPr>
          <w:b/>
          <w:bCs/>
          <w:color w:val="FF0000"/>
          <w:sz w:val="24"/>
          <w:szCs w:val="24"/>
          <w:u w:val="single"/>
        </w:rPr>
        <w:t>organizaciones re</w:t>
      </w:r>
      <w:r>
        <w:rPr>
          <w:b/>
          <w:bCs/>
          <w:color w:val="FF0000"/>
          <w:sz w:val="24"/>
          <w:szCs w:val="24"/>
          <w:u w:val="single"/>
        </w:rPr>
        <w:t>p</w:t>
      </w:r>
      <w:r w:rsidRPr="00CE17BE">
        <w:rPr>
          <w:b/>
          <w:bCs/>
          <w:color w:val="FF0000"/>
          <w:sz w:val="24"/>
          <w:szCs w:val="24"/>
          <w:u w:val="single"/>
        </w:rPr>
        <w:t>resentativas</w:t>
      </w:r>
      <w:r w:rsidRPr="00CE17BE">
        <w:rPr>
          <w:color w:val="000000"/>
          <w:sz w:val="24"/>
          <w:szCs w:val="24"/>
        </w:rPr>
        <w:t>.</w:t>
      </w:r>
    </w:p>
    <w:p w14:paraId="31DA944A" w14:textId="77777777" w:rsidR="00CE17BE" w:rsidRDefault="00CE17BE" w:rsidP="009D0536">
      <w:pPr>
        <w:ind w:left="116"/>
        <w:jc w:val="both"/>
        <w:rPr>
          <w:rFonts w:eastAsia="Arial Nova" w:cstheme="minorHAnsi"/>
          <w:i/>
          <w:sz w:val="24"/>
          <w:szCs w:val="24"/>
          <w:u w:val="single"/>
        </w:rPr>
      </w:pPr>
    </w:p>
    <w:p w14:paraId="52563431" w14:textId="47B97C19" w:rsidR="009D0536" w:rsidRPr="00CE17BE" w:rsidRDefault="009D0536" w:rsidP="009D0536">
      <w:pPr>
        <w:ind w:left="116"/>
        <w:jc w:val="both"/>
        <w:rPr>
          <w:rFonts w:eastAsia="Arial Nova" w:cstheme="minorHAnsi"/>
          <w:iCs/>
          <w:sz w:val="24"/>
          <w:szCs w:val="24"/>
          <w:u w:val="single"/>
        </w:rPr>
      </w:pPr>
      <w:r w:rsidRPr="00CE17BE">
        <w:rPr>
          <w:rFonts w:eastAsia="Arial Nova" w:cstheme="minorHAnsi"/>
          <w:iCs/>
          <w:sz w:val="24"/>
          <w:szCs w:val="24"/>
          <w:u w:val="single"/>
        </w:rPr>
        <w:t>Justificación</w:t>
      </w:r>
    </w:p>
    <w:p w14:paraId="501D14D1" w14:textId="4215F6CE" w:rsidR="009D0536" w:rsidRPr="00CE17BE" w:rsidRDefault="009D0536" w:rsidP="009D0536">
      <w:pPr>
        <w:ind w:left="116"/>
        <w:jc w:val="both"/>
        <w:rPr>
          <w:rFonts w:cstheme="minorHAnsi"/>
          <w:bCs/>
          <w:iCs/>
          <w:sz w:val="24"/>
          <w:szCs w:val="24"/>
        </w:rPr>
      </w:pPr>
    </w:p>
    <w:p w14:paraId="5FAA01D8" w14:textId="02C38DD9" w:rsidR="0003270B" w:rsidRPr="00CE17BE" w:rsidRDefault="00CE17BE" w:rsidP="009D0536">
      <w:pPr>
        <w:ind w:left="116"/>
        <w:jc w:val="both"/>
        <w:rPr>
          <w:rFonts w:cstheme="minorHAnsi"/>
          <w:bCs/>
          <w:iCs/>
          <w:sz w:val="24"/>
          <w:szCs w:val="24"/>
        </w:rPr>
      </w:pPr>
      <w:r>
        <w:rPr>
          <w:rFonts w:cstheme="minorHAnsi"/>
          <w:bCs/>
          <w:iCs/>
          <w:sz w:val="24"/>
          <w:szCs w:val="24"/>
        </w:rPr>
        <w:t xml:space="preserve">En aplicación del principio de diálogo civil, consideramos fundamental que a lo largo de todo </w:t>
      </w:r>
      <w:r w:rsidR="00831C92">
        <w:rPr>
          <w:rFonts w:cstheme="minorHAnsi"/>
          <w:bCs/>
          <w:iCs/>
          <w:sz w:val="24"/>
          <w:szCs w:val="24"/>
        </w:rPr>
        <w:t>el</w:t>
      </w:r>
      <w:r>
        <w:rPr>
          <w:rFonts w:cstheme="minorHAnsi"/>
          <w:bCs/>
          <w:iCs/>
          <w:sz w:val="24"/>
          <w:szCs w:val="24"/>
        </w:rPr>
        <w:t xml:space="preserve"> proceso de construcción, validación, seguimiento y evaluación del nuevo </w:t>
      </w:r>
      <w:r w:rsidR="00831C92">
        <w:rPr>
          <w:rFonts w:cstheme="minorHAnsi"/>
          <w:bCs/>
          <w:iCs/>
          <w:sz w:val="24"/>
          <w:szCs w:val="24"/>
        </w:rPr>
        <w:t>S</w:t>
      </w:r>
      <w:r>
        <w:rPr>
          <w:rFonts w:cstheme="minorHAnsi"/>
          <w:bCs/>
          <w:iCs/>
          <w:sz w:val="24"/>
          <w:szCs w:val="24"/>
        </w:rPr>
        <w:t xml:space="preserve">ervicio </w:t>
      </w:r>
      <w:r w:rsidR="00831C92">
        <w:rPr>
          <w:rFonts w:cstheme="minorHAnsi"/>
          <w:bCs/>
          <w:iCs/>
          <w:sz w:val="24"/>
          <w:szCs w:val="24"/>
        </w:rPr>
        <w:t>P</w:t>
      </w:r>
      <w:r>
        <w:rPr>
          <w:rFonts w:cstheme="minorHAnsi"/>
          <w:bCs/>
          <w:iCs/>
          <w:sz w:val="24"/>
          <w:szCs w:val="24"/>
        </w:rPr>
        <w:t xml:space="preserve">úblico de Justicia Digital se cuente con la participación de las propias personas con discapacidad usuarias de este servicio público, así como de sus organizaciones representativas. </w:t>
      </w:r>
    </w:p>
    <w:p w14:paraId="2B97AB84" w14:textId="77777777" w:rsidR="009D0536" w:rsidRPr="0003270B" w:rsidRDefault="009D0536" w:rsidP="009D0536">
      <w:pPr>
        <w:ind w:left="116"/>
        <w:jc w:val="both"/>
        <w:rPr>
          <w:rFonts w:cstheme="minorHAnsi"/>
          <w:b/>
          <w:bCs/>
          <w:i/>
          <w:color w:val="FF0000"/>
          <w:sz w:val="24"/>
          <w:szCs w:val="24"/>
          <w:u w:val="single"/>
        </w:rPr>
      </w:pPr>
    </w:p>
    <w:p w14:paraId="3860E9E0" w14:textId="148CB82F" w:rsidR="00E97C17" w:rsidRPr="003D0859" w:rsidRDefault="009D0536" w:rsidP="00E97C1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3</w:t>
      </w:r>
      <w:r w:rsidRPr="003D0859">
        <w:rPr>
          <w:rFonts w:cstheme="minorHAnsi"/>
          <w:b/>
          <w:bCs/>
          <w:sz w:val="28"/>
          <w:szCs w:val="28"/>
        </w:rPr>
        <w:t xml:space="preserve">ª Enmienda - </w:t>
      </w:r>
      <w:r w:rsidR="00E97C17" w:rsidRPr="003D0859">
        <w:rPr>
          <w:rFonts w:cstheme="minorHAnsi"/>
          <w:b/>
          <w:bCs/>
          <w:sz w:val="28"/>
          <w:szCs w:val="28"/>
        </w:rPr>
        <w:t xml:space="preserve">De </w:t>
      </w:r>
      <w:r w:rsidR="003426F5">
        <w:rPr>
          <w:rFonts w:cstheme="minorHAnsi"/>
          <w:b/>
          <w:bCs/>
          <w:sz w:val="28"/>
          <w:szCs w:val="28"/>
        </w:rPr>
        <w:t>adi</w:t>
      </w:r>
      <w:r w:rsidR="00E97C17" w:rsidRPr="003D0859">
        <w:rPr>
          <w:rFonts w:cstheme="minorHAnsi"/>
          <w:b/>
          <w:bCs/>
          <w:sz w:val="28"/>
          <w:szCs w:val="28"/>
        </w:rPr>
        <w:t xml:space="preserve">ción – </w:t>
      </w:r>
      <w:r w:rsidR="003426F5">
        <w:rPr>
          <w:rFonts w:cstheme="minorHAnsi"/>
          <w:b/>
          <w:bCs/>
          <w:sz w:val="28"/>
          <w:szCs w:val="28"/>
        </w:rPr>
        <w:t xml:space="preserve">Título II. </w:t>
      </w:r>
      <w:r w:rsidR="00E97C17">
        <w:rPr>
          <w:rFonts w:cstheme="minorHAnsi"/>
          <w:b/>
          <w:bCs/>
          <w:sz w:val="28"/>
          <w:szCs w:val="28"/>
        </w:rPr>
        <w:t xml:space="preserve">Artículo </w:t>
      </w:r>
      <w:r w:rsidR="003426F5">
        <w:rPr>
          <w:rFonts w:cstheme="minorHAnsi"/>
          <w:b/>
          <w:bCs/>
          <w:sz w:val="28"/>
          <w:szCs w:val="28"/>
        </w:rPr>
        <w:t>8</w:t>
      </w:r>
      <w:r w:rsidR="00E97C17">
        <w:rPr>
          <w:rFonts w:cstheme="minorHAnsi"/>
          <w:b/>
          <w:bCs/>
          <w:sz w:val="28"/>
          <w:szCs w:val="28"/>
        </w:rPr>
        <w:t xml:space="preserve"> </w:t>
      </w:r>
      <w:r w:rsidR="00F35575">
        <w:rPr>
          <w:rFonts w:cstheme="minorHAnsi"/>
          <w:b/>
          <w:bCs/>
          <w:sz w:val="28"/>
          <w:szCs w:val="28"/>
        </w:rPr>
        <w:t>numeral</w:t>
      </w:r>
      <w:r w:rsidR="00E97C17">
        <w:rPr>
          <w:rFonts w:cstheme="minorHAnsi"/>
          <w:b/>
          <w:bCs/>
          <w:sz w:val="28"/>
          <w:szCs w:val="28"/>
        </w:rPr>
        <w:t xml:space="preserve"> </w:t>
      </w:r>
      <w:r w:rsidR="003426F5">
        <w:rPr>
          <w:rFonts w:cstheme="minorHAnsi"/>
          <w:b/>
          <w:bCs/>
          <w:sz w:val="28"/>
          <w:szCs w:val="28"/>
        </w:rPr>
        <w:t>4</w:t>
      </w:r>
    </w:p>
    <w:p w14:paraId="12DEC459" w14:textId="4946B37F" w:rsidR="009D0536" w:rsidRPr="00891A36" w:rsidRDefault="009D0536" w:rsidP="00E97C1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4"/>
          <w:szCs w:val="24"/>
          <w:u w:val="single"/>
        </w:rPr>
      </w:pPr>
    </w:p>
    <w:p w14:paraId="149683C8" w14:textId="592A320B" w:rsidR="009D0536" w:rsidRDefault="009D0536" w:rsidP="009D0536">
      <w:pPr>
        <w:spacing w:before="1"/>
        <w:ind w:left="116"/>
        <w:rPr>
          <w:rFonts w:eastAsia="Arial Nova" w:cstheme="minorHAnsi"/>
          <w:i/>
          <w:sz w:val="24"/>
          <w:szCs w:val="24"/>
          <w:u w:val="single"/>
        </w:rPr>
      </w:pPr>
    </w:p>
    <w:p w14:paraId="42CEC21D" w14:textId="1295910D" w:rsidR="003426F5" w:rsidRPr="003426F5" w:rsidRDefault="003426F5" w:rsidP="003426F5">
      <w:pPr>
        <w:spacing w:before="1"/>
        <w:ind w:left="116"/>
        <w:jc w:val="both"/>
        <w:rPr>
          <w:rFonts w:eastAsia="Arial Nova" w:cstheme="minorHAnsi"/>
          <w:i/>
          <w:sz w:val="24"/>
          <w:szCs w:val="24"/>
          <w:u w:val="single"/>
        </w:rPr>
      </w:pPr>
      <w:r w:rsidRPr="003426F5">
        <w:rPr>
          <w:color w:val="000000"/>
          <w:sz w:val="24"/>
          <w:szCs w:val="24"/>
        </w:rPr>
        <w:t>4. Las administraciones competentes en materia de Justicia determinarán las condiciones e instrumentos de creación de las sedes judiciales electrónicas, con sujeción a los principios de publicidad, responsabilidad, calidad, seguridad, disponibilidad, accesibilidad</w:t>
      </w:r>
      <w:r>
        <w:rPr>
          <w:color w:val="000000"/>
          <w:sz w:val="24"/>
          <w:szCs w:val="24"/>
        </w:rPr>
        <w:t xml:space="preserve"> </w:t>
      </w:r>
      <w:r>
        <w:rPr>
          <w:b/>
          <w:bCs/>
          <w:color w:val="FF0000"/>
          <w:sz w:val="24"/>
          <w:szCs w:val="24"/>
          <w:u w:val="single"/>
        </w:rPr>
        <w:t>universal</w:t>
      </w:r>
      <w:r w:rsidRPr="003426F5">
        <w:rPr>
          <w:color w:val="000000"/>
          <w:sz w:val="24"/>
          <w:szCs w:val="24"/>
        </w:rPr>
        <w:t>, neutralidad e interoperabilidad.</w:t>
      </w:r>
    </w:p>
    <w:p w14:paraId="58BF8F8A" w14:textId="77777777" w:rsidR="003426F5" w:rsidRDefault="003426F5" w:rsidP="009D0536">
      <w:pPr>
        <w:spacing w:before="1"/>
        <w:ind w:left="116"/>
        <w:rPr>
          <w:rFonts w:eastAsia="Arial Nova" w:cstheme="minorHAnsi"/>
          <w:i/>
          <w:sz w:val="24"/>
          <w:szCs w:val="24"/>
          <w:u w:val="single"/>
        </w:rPr>
      </w:pPr>
    </w:p>
    <w:p w14:paraId="56702A67" w14:textId="02C32CB3" w:rsidR="009D0536" w:rsidRPr="003426F5" w:rsidRDefault="009D0536" w:rsidP="009D0536">
      <w:pPr>
        <w:spacing w:before="1"/>
        <w:ind w:left="116"/>
        <w:rPr>
          <w:rFonts w:eastAsia="Arial Nova" w:cstheme="minorHAnsi"/>
          <w:iCs/>
          <w:sz w:val="24"/>
          <w:szCs w:val="24"/>
          <w:u w:val="single"/>
        </w:rPr>
      </w:pPr>
      <w:r w:rsidRPr="003426F5">
        <w:rPr>
          <w:rFonts w:eastAsia="Arial Nova" w:cstheme="minorHAnsi"/>
          <w:iCs/>
          <w:sz w:val="24"/>
          <w:szCs w:val="24"/>
          <w:u w:val="single"/>
        </w:rPr>
        <w:t>Justificación</w:t>
      </w:r>
    </w:p>
    <w:p w14:paraId="1E46BABF" w14:textId="77777777" w:rsidR="003426F5" w:rsidRDefault="003426F5" w:rsidP="003426F5">
      <w:pPr>
        <w:ind w:left="116"/>
        <w:jc w:val="both"/>
        <w:rPr>
          <w:rFonts w:cstheme="minorHAnsi"/>
          <w:sz w:val="24"/>
          <w:szCs w:val="24"/>
        </w:rPr>
      </w:pPr>
    </w:p>
    <w:p w14:paraId="73EBD6F2" w14:textId="39A1FC46" w:rsidR="003426F5" w:rsidRDefault="003426F5" w:rsidP="003426F5">
      <w:pPr>
        <w:ind w:left="116"/>
        <w:jc w:val="both"/>
        <w:rPr>
          <w:rFonts w:cstheme="minorHAnsi"/>
          <w:sz w:val="24"/>
          <w:szCs w:val="24"/>
        </w:rPr>
      </w:pPr>
      <w:r w:rsidRPr="00891A36">
        <w:rPr>
          <w:rFonts w:eastAsia="Arial Nova" w:cstheme="minorHAnsi"/>
          <w:sz w:val="24"/>
          <w:szCs w:val="24"/>
        </w:rPr>
        <w:t>La accesibilidad universal es un elemento clave e indispensable para el pleno ejercicio y disfrute de los derechos de las personas con discapacidad; por tanto, esta, debe figurar de manera transversal en todo el contenido de la futura legislación, atendiendo al mandato de la Convención sobre los Derechos de las Personas con Discapacidad.</w:t>
      </w:r>
    </w:p>
    <w:p w14:paraId="34C02882" w14:textId="77777777" w:rsidR="003426F5" w:rsidRDefault="003426F5" w:rsidP="003426F5">
      <w:pPr>
        <w:ind w:left="116"/>
        <w:jc w:val="both"/>
        <w:rPr>
          <w:rFonts w:cstheme="minorHAnsi"/>
          <w:sz w:val="24"/>
          <w:szCs w:val="24"/>
        </w:rPr>
      </w:pPr>
    </w:p>
    <w:p w14:paraId="4C4EDF8B" w14:textId="3B4EA766" w:rsidR="009D0536" w:rsidRPr="003D0859" w:rsidRDefault="009D0536"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4</w:t>
      </w:r>
      <w:r w:rsidRPr="003D0859">
        <w:rPr>
          <w:rFonts w:cstheme="minorHAnsi"/>
          <w:b/>
          <w:bCs/>
          <w:sz w:val="28"/>
          <w:szCs w:val="28"/>
        </w:rPr>
        <w:t xml:space="preserve">ª Enmienda - De </w:t>
      </w:r>
      <w:r w:rsidR="003426F5">
        <w:rPr>
          <w:rFonts w:cstheme="minorHAnsi"/>
          <w:b/>
          <w:bCs/>
          <w:sz w:val="28"/>
          <w:szCs w:val="28"/>
        </w:rPr>
        <w:t>adición</w:t>
      </w:r>
      <w:r w:rsidRPr="003D0859">
        <w:rPr>
          <w:rFonts w:cstheme="minorHAnsi"/>
          <w:b/>
          <w:bCs/>
          <w:sz w:val="28"/>
          <w:szCs w:val="28"/>
        </w:rPr>
        <w:t xml:space="preserve"> – </w:t>
      </w:r>
      <w:r w:rsidR="00291612">
        <w:rPr>
          <w:rFonts w:cstheme="minorHAnsi"/>
          <w:b/>
          <w:bCs/>
          <w:sz w:val="28"/>
          <w:szCs w:val="28"/>
        </w:rPr>
        <w:t xml:space="preserve">Título II </w:t>
      </w:r>
      <w:r w:rsidR="00E97C17">
        <w:rPr>
          <w:rFonts w:cstheme="minorHAnsi"/>
          <w:b/>
          <w:bCs/>
          <w:sz w:val="28"/>
          <w:szCs w:val="28"/>
        </w:rPr>
        <w:t xml:space="preserve">Artículo </w:t>
      </w:r>
      <w:r w:rsidR="003426F5">
        <w:rPr>
          <w:rFonts w:cstheme="minorHAnsi"/>
          <w:b/>
          <w:bCs/>
          <w:sz w:val="28"/>
          <w:szCs w:val="28"/>
        </w:rPr>
        <w:t>18</w:t>
      </w:r>
      <w:r w:rsidR="00E97C17">
        <w:rPr>
          <w:rFonts w:cstheme="minorHAnsi"/>
          <w:b/>
          <w:bCs/>
          <w:sz w:val="28"/>
          <w:szCs w:val="28"/>
        </w:rPr>
        <w:t xml:space="preserve">, </w:t>
      </w:r>
      <w:r w:rsidR="003426F5">
        <w:rPr>
          <w:rFonts w:cstheme="minorHAnsi"/>
          <w:b/>
          <w:bCs/>
          <w:sz w:val="28"/>
          <w:szCs w:val="28"/>
        </w:rPr>
        <w:t xml:space="preserve">nuevo </w:t>
      </w:r>
      <w:r w:rsidR="00E97C17">
        <w:rPr>
          <w:rFonts w:cstheme="minorHAnsi"/>
          <w:b/>
          <w:bCs/>
          <w:sz w:val="28"/>
          <w:szCs w:val="28"/>
        </w:rPr>
        <w:t xml:space="preserve">párrafo </w:t>
      </w:r>
      <w:r w:rsidR="003426F5">
        <w:rPr>
          <w:rFonts w:cstheme="minorHAnsi"/>
          <w:b/>
          <w:bCs/>
          <w:sz w:val="28"/>
          <w:szCs w:val="28"/>
        </w:rPr>
        <w:t>3</w:t>
      </w:r>
      <w:r w:rsidR="00E97C17">
        <w:rPr>
          <w:rFonts w:cstheme="minorHAnsi"/>
          <w:b/>
          <w:bCs/>
          <w:sz w:val="28"/>
          <w:szCs w:val="28"/>
        </w:rPr>
        <w:t>.</w:t>
      </w:r>
    </w:p>
    <w:p w14:paraId="08E2A640" w14:textId="2C1D4A91" w:rsidR="009D0536" w:rsidRDefault="009D0536" w:rsidP="009D0536">
      <w:pPr>
        <w:ind w:left="116"/>
        <w:jc w:val="both"/>
        <w:rPr>
          <w:rFonts w:cstheme="minorHAnsi"/>
          <w:b/>
          <w:bCs/>
          <w:sz w:val="24"/>
          <w:szCs w:val="24"/>
          <w:u w:val="single"/>
        </w:rPr>
      </w:pPr>
    </w:p>
    <w:p w14:paraId="7AC258A7" w14:textId="4CCC3F41" w:rsidR="003426F5" w:rsidRPr="003426F5" w:rsidRDefault="003426F5" w:rsidP="009D0536">
      <w:pPr>
        <w:ind w:left="116"/>
        <w:jc w:val="both"/>
        <w:rPr>
          <w:rFonts w:cstheme="minorHAnsi"/>
          <w:sz w:val="24"/>
          <w:szCs w:val="24"/>
        </w:rPr>
      </w:pPr>
      <w:r w:rsidRPr="003426F5">
        <w:rPr>
          <w:rFonts w:cstheme="minorHAnsi"/>
          <w:sz w:val="24"/>
          <w:szCs w:val="24"/>
        </w:rPr>
        <w:t>18. Cita previa</w:t>
      </w:r>
    </w:p>
    <w:p w14:paraId="52A37B6D" w14:textId="33855281" w:rsidR="003426F5" w:rsidRDefault="003426F5" w:rsidP="009D0536">
      <w:pPr>
        <w:ind w:left="116"/>
        <w:jc w:val="both"/>
        <w:rPr>
          <w:rFonts w:cstheme="minorHAnsi"/>
          <w:sz w:val="24"/>
          <w:szCs w:val="24"/>
        </w:rPr>
      </w:pPr>
    </w:p>
    <w:p w14:paraId="1CBAE333" w14:textId="0227DFA7" w:rsidR="003426F5" w:rsidRPr="003426F5" w:rsidRDefault="003426F5" w:rsidP="009D0536">
      <w:pPr>
        <w:ind w:left="116"/>
        <w:jc w:val="both"/>
        <w:rPr>
          <w:rFonts w:cstheme="minorHAnsi"/>
          <w:b/>
          <w:bCs/>
          <w:color w:val="FF0000"/>
          <w:sz w:val="24"/>
          <w:szCs w:val="24"/>
          <w:u w:val="single"/>
        </w:rPr>
      </w:pPr>
      <w:r w:rsidRPr="003426F5">
        <w:rPr>
          <w:rFonts w:cstheme="minorHAnsi"/>
          <w:b/>
          <w:bCs/>
          <w:color w:val="FF0000"/>
          <w:sz w:val="24"/>
          <w:szCs w:val="24"/>
          <w:u w:val="single"/>
        </w:rPr>
        <w:t xml:space="preserve">3. </w:t>
      </w:r>
      <w:r>
        <w:rPr>
          <w:rFonts w:cstheme="minorHAnsi"/>
          <w:b/>
          <w:bCs/>
          <w:color w:val="FF0000"/>
          <w:sz w:val="24"/>
          <w:szCs w:val="24"/>
          <w:u w:val="single"/>
        </w:rPr>
        <w:t xml:space="preserve">Los servicios de </w:t>
      </w:r>
      <w:r w:rsidRPr="003426F5">
        <w:rPr>
          <w:rFonts w:cstheme="minorHAnsi"/>
          <w:b/>
          <w:bCs/>
          <w:color w:val="FF0000"/>
          <w:sz w:val="24"/>
          <w:szCs w:val="24"/>
          <w:u w:val="single"/>
        </w:rPr>
        <w:t xml:space="preserve">cita previa </w:t>
      </w:r>
      <w:r>
        <w:rPr>
          <w:rFonts w:cstheme="minorHAnsi"/>
          <w:b/>
          <w:bCs/>
          <w:color w:val="FF0000"/>
          <w:sz w:val="24"/>
          <w:szCs w:val="24"/>
          <w:u w:val="single"/>
        </w:rPr>
        <w:t xml:space="preserve">deberán ser universalmente </w:t>
      </w:r>
      <w:r w:rsidRPr="003426F5">
        <w:rPr>
          <w:rFonts w:cstheme="minorHAnsi"/>
          <w:b/>
          <w:bCs/>
          <w:color w:val="FF0000"/>
          <w:sz w:val="24"/>
          <w:szCs w:val="24"/>
          <w:u w:val="single"/>
        </w:rPr>
        <w:t xml:space="preserve">accesibles </w:t>
      </w:r>
    </w:p>
    <w:p w14:paraId="23B6B688" w14:textId="77777777" w:rsidR="003426F5" w:rsidRPr="003426F5" w:rsidRDefault="003426F5" w:rsidP="009D0536">
      <w:pPr>
        <w:ind w:left="116"/>
        <w:jc w:val="both"/>
        <w:rPr>
          <w:rFonts w:cstheme="minorHAnsi"/>
          <w:sz w:val="24"/>
          <w:szCs w:val="24"/>
        </w:rPr>
      </w:pPr>
    </w:p>
    <w:p w14:paraId="1F6CBF0A" w14:textId="77777777" w:rsidR="00E97C17" w:rsidRDefault="00E97C17" w:rsidP="009D0536">
      <w:pPr>
        <w:spacing w:before="1"/>
        <w:ind w:left="116"/>
        <w:rPr>
          <w:rFonts w:eastAsia="Arial Nova" w:cstheme="minorHAnsi"/>
          <w:i/>
          <w:sz w:val="24"/>
          <w:szCs w:val="24"/>
          <w:u w:val="single"/>
        </w:rPr>
      </w:pPr>
    </w:p>
    <w:p w14:paraId="69330F94" w14:textId="32EBE995" w:rsidR="009D0536" w:rsidRPr="003426F5" w:rsidRDefault="009D0536" w:rsidP="009D0536">
      <w:pPr>
        <w:spacing w:before="1"/>
        <w:ind w:left="116"/>
        <w:rPr>
          <w:rFonts w:eastAsia="Arial Nova" w:cstheme="minorHAnsi"/>
          <w:iCs/>
          <w:sz w:val="24"/>
          <w:szCs w:val="24"/>
          <w:u w:val="single"/>
        </w:rPr>
      </w:pPr>
      <w:r w:rsidRPr="003426F5">
        <w:rPr>
          <w:rFonts w:eastAsia="Arial Nova" w:cstheme="minorHAnsi"/>
          <w:iCs/>
          <w:sz w:val="24"/>
          <w:szCs w:val="24"/>
          <w:u w:val="single"/>
        </w:rPr>
        <w:t>Justificación</w:t>
      </w:r>
    </w:p>
    <w:p w14:paraId="66E98458" w14:textId="34B7815B" w:rsidR="009D0536" w:rsidRDefault="009D0536" w:rsidP="009D0536">
      <w:pPr>
        <w:ind w:left="116"/>
        <w:jc w:val="both"/>
        <w:rPr>
          <w:rFonts w:cstheme="minorHAnsi"/>
          <w:bCs/>
          <w:iCs/>
          <w:sz w:val="24"/>
          <w:szCs w:val="24"/>
        </w:rPr>
      </w:pPr>
    </w:p>
    <w:p w14:paraId="00BB3065" w14:textId="77777777" w:rsidR="003426F5" w:rsidRDefault="003426F5" w:rsidP="003426F5">
      <w:pPr>
        <w:ind w:left="116"/>
        <w:jc w:val="both"/>
        <w:rPr>
          <w:rFonts w:cstheme="minorHAnsi"/>
          <w:sz w:val="24"/>
          <w:szCs w:val="24"/>
        </w:rPr>
      </w:pPr>
      <w:r w:rsidRPr="00891A36">
        <w:rPr>
          <w:rFonts w:eastAsia="Arial Nova" w:cstheme="minorHAnsi"/>
          <w:sz w:val="24"/>
          <w:szCs w:val="24"/>
        </w:rPr>
        <w:t xml:space="preserve">La accesibilidad universal es un elemento clave e indispensable para el pleno ejercicio y disfrute de los derechos de las personas con discapacidad; por tanto, esta, debe figurar de </w:t>
      </w:r>
      <w:r w:rsidRPr="00891A36">
        <w:rPr>
          <w:rFonts w:eastAsia="Arial Nova" w:cstheme="minorHAnsi"/>
          <w:sz w:val="24"/>
          <w:szCs w:val="24"/>
        </w:rPr>
        <w:lastRenderedPageBreak/>
        <w:t>manera transversal en todo el contenido de la futura legislación, atendiendo al mandato de la Convención sobre los Derechos de las Personas con Discapacidad.</w:t>
      </w:r>
    </w:p>
    <w:p w14:paraId="7EEA61E9" w14:textId="552C751D" w:rsidR="003426F5" w:rsidRDefault="003426F5" w:rsidP="009D0536">
      <w:pPr>
        <w:ind w:left="116"/>
        <w:jc w:val="both"/>
        <w:rPr>
          <w:rFonts w:cstheme="minorHAnsi"/>
          <w:bCs/>
          <w:iCs/>
          <w:sz w:val="24"/>
          <w:szCs w:val="24"/>
        </w:rPr>
      </w:pPr>
    </w:p>
    <w:p w14:paraId="7EA1526B" w14:textId="77777777" w:rsidR="003D3965" w:rsidRDefault="003D3965" w:rsidP="003D3965">
      <w:pPr>
        <w:ind w:left="116"/>
        <w:jc w:val="both"/>
        <w:rPr>
          <w:rFonts w:cstheme="minorHAnsi"/>
          <w:sz w:val="24"/>
          <w:szCs w:val="24"/>
        </w:rPr>
      </w:pPr>
    </w:p>
    <w:p w14:paraId="0DE3CC7C" w14:textId="1A386F1B" w:rsidR="003D3965" w:rsidRPr="003D0859" w:rsidRDefault="003D3965" w:rsidP="003D3965">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5</w:t>
      </w:r>
      <w:r w:rsidRPr="003D0859">
        <w:rPr>
          <w:rFonts w:cstheme="minorHAnsi"/>
          <w:b/>
          <w:bCs/>
          <w:sz w:val="28"/>
          <w:szCs w:val="28"/>
        </w:rPr>
        <w:t xml:space="preserve">ª Enmienda - De </w:t>
      </w:r>
      <w:r>
        <w:rPr>
          <w:rFonts w:cstheme="minorHAnsi"/>
          <w:b/>
          <w:bCs/>
          <w:sz w:val="28"/>
          <w:szCs w:val="28"/>
        </w:rPr>
        <w:t>adición</w:t>
      </w:r>
      <w:r w:rsidRPr="003D0859">
        <w:rPr>
          <w:rFonts w:cstheme="minorHAnsi"/>
          <w:b/>
          <w:bCs/>
          <w:sz w:val="28"/>
          <w:szCs w:val="28"/>
        </w:rPr>
        <w:t xml:space="preserve"> – </w:t>
      </w:r>
      <w:r>
        <w:rPr>
          <w:rFonts w:cstheme="minorHAnsi"/>
          <w:b/>
          <w:bCs/>
          <w:sz w:val="28"/>
          <w:szCs w:val="28"/>
        </w:rPr>
        <w:t>Título III Artículo 35 párrafo 1, nueva letra</w:t>
      </w:r>
      <w:r w:rsidR="00086C34">
        <w:rPr>
          <w:rFonts w:cstheme="minorHAnsi"/>
          <w:b/>
          <w:bCs/>
          <w:sz w:val="28"/>
          <w:szCs w:val="28"/>
        </w:rPr>
        <w:t xml:space="preserve"> n</w:t>
      </w:r>
      <w:r>
        <w:rPr>
          <w:rFonts w:cstheme="minorHAnsi"/>
          <w:b/>
          <w:bCs/>
          <w:sz w:val="28"/>
          <w:szCs w:val="28"/>
        </w:rPr>
        <w:t>.</w:t>
      </w:r>
    </w:p>
    <w:p w14:paraId="77285D07" w14:textId="77777777" w:rsidR="003D3965" w:rsidRDefault="003D3965" w:rsidP="003D3965">
      <w:pPr>
        <w:ind w:left="116"/>
        <w:jc w:val="both"/>
        <w:rPr>
          <w:rFonts w:cstheme="minorHAnsi"/>
          <w:b/>
          <w:bCs/>
          <w:sz w:val="24"/>
          <w:szCs w:val="24"/>
          <w:u w:val="single"/>
        </w:rPr>
      </w:pPr>
    </w:p>
    <w:p w14:paraId="7D19F414" w14:textId="77777777" w:rsidR="00086C34" w:rsidRPr="00086C34" w:rsidRDefault="00086C34" w:rsidP="00086C34">
      <w:pPr>
        <w:pStyle w:val="Pa13"/>
        <w:spacing w:before="220" w:after="137" w:line="240" w:lineRule="auto"/>
        <w:ind w:firstLine="116"/>
        <w:contextualSpacing/>
        <w:jc w:val="both"/>
        <w:rPr>
          <w:rFonts w:asciiTheme="minorHAnsi" w:hAnsiTheme="minorHAnsi" w:cstheme="minorHAnsi"/>
          <w:color w:val="000000"/>
        </w:rPr>
      </w:pPr>
      <w:r w:rsidRPr="00086C34">
        <w:rPr>
          <w:rFonts w:asciiTheme="minorHAnsi" w:hAnsiTheme="minorHAnsi" w:cstheme="minorHAnsi"/>
          <w:color w:val="000000"/>
        </w:rPr>
        <w:t>Artículo 35. Principio general de orientación al dato.</w:t>
      </w:r>
    </w:p>
    <w:p w14:paraId="413B0B2B" w14:textId="0F37C98D" w:rsidR="003D3965" w:rsidRDefault="00086C34" w:rsidP="00086C34">
      <w:pPr>
        <w:ind w:left="116"/>
        <w:contextualSpacing/>
        <w:jc w:val="both"/>
        <w:rPr>
          <w:rFonts w:cstheme="minorHAnsi"/>
          <w:color w:val="000000"/>
          <w:sz w:val="24"/>
          <w:szCs w:val="24"/>
        </w:rPr>
      </w:pPr>
      <w:r w:rsidRPr="00086C34">
        <w:rPr>
          <w:rFonts w:cstheme="minorHAnsi"/>
          <w:color w:val="000000"/>
          <w:sz w:val="24"/>
          <w:szCs w:val="24"/>
        </w:rPr>
        <w:t>1. Todos los sistemas de información y comunicación que se utilicen en el ámbito de la Administración de Justicia, incluso para finalidades de apoyo a las de carácter gubernativo, asegurarán la entrada, incorporación y tratamiento de la información en forma de metadatos, conforme a esquemas comunes, y en modelos de datos comunes e interoperables que posibiliten, simplifiquen y favorezcan los siguientes fines:</w:t>
      </w:r>
    </w:p>
    <w:p w14:paraId="6A3BE2D6" w14:textId="7316E1C1" w:rsidR="00086C34" w:rsidRDefault="00086C34" w:rsidP="00086C34">
      <w:pPr>
        <w:ind w:left="116"/>
        <w:contextualSpacing/>
        <w:jc w:val="both"/>
        <w:rPr>
          <w:rFonts w:cstheme="minorHAnsi"/>
          <w:sz w:val="24"/>
          <w:szCs w:val="24"/>
        </w:rPr>
      </w:pPr>
    </w:p>
    <w:p w14:paraId="4FDFAD70" w14:textId="528645F6" w:rsidR="00086C34" w:rsidRPr="00086C34" w:rsidRDefault="00086C34" w:rsidP="00086C34">
      <w:pPr>
        <w:ind w:left="116"/>
        <w:contextualSpacing/>
        <w:jc w:val="both"/>
        <w:rPr>
          <w:rFonts w:cstheme="minorHAnsi"/>
          <w:b/>
          <w:bCs/>
          <w:color w:val="FF0000"/>
          <w:sz w:val="24"/>
          <w:szCs w:val="24"/>
          <w:u w:val="single"/>
        </w:rPr>
      </w:pPr>
      <w:r w:rsidRPr="00086C34">
        <w:rPr>
          <w:rFonts w:cstheme="minorHAnsi"/>
          <w:b/>
          <w:bCs/>
          <w:color w:val="FF0000"/>
          <w:sz w:val="24"/>
          <w:szCs w:val="24"/>
          <w:u w:val="single"/>
        </w:rPr>
        <w:t xml:space="preserve">n) Garantizar la ausencia de sesgos </w:t>
      </w:r>
      <w:r>
        <w:rPr>
          <w:rFonts w:cstheme="minorHAnsi"/>
          <w:b/>
          <w:bCs/>
          <w:color w:val="FF0000"/>
          <w:sz w:val="24"/>
          <w:szCs w:val="24"/>
          <w:u w:val="single"/>
        </w:rPr>
        <w:t>en relación con las personas con discapacidad</w:t>
      </w:r>
      <w:r w:rsidRPr="00086C34">
        <w:rPr>
          <w:rFonts w:cstheme="minorHAnsi"/>
          <w:b/>
          <w:bCs/>
          <w:color w:val="FF0000"/>
          <w:sz w:val="24"/>
          <w:szCs w:val="24"/>
          <w:u w:val="single"/>
        </w:rPr>
        <w:t>.</w:t>
      </w:r>
    </w:p>
    <w:p w14:paraId="2595CB34" w14:textId="38A29359" w:rsidR="003D3965" w:rsidRDefault="003D3965" w:rsidP="009D0536">
      <w:pPr>
        <w:ind w:left="116"/>
        <w:jc w:val="both"/>
        <w:rPr>
          <w:rFonts w:cstheme="minorHAnsi"/>
          <w:bCs/>
          <w:iCs/>
          <w:sz w:val="24"/>
          <w:szCs w:val="24"/>
        </w:rPr>
      </w:pPr>
    </w:p>
    <w:p w14:paraId="4FFB8D5B" w14:textId="690CF3F7" w:rsidR="00086C34" w:rsidRPr="00086C34" w:rsidRDefault="00086C34" w:rsidP="009D0536">
      <w:pPr>
        <w:ind w:left="116"/>
        <w:jc w:val="both"/>
        <w:rPr>
          <w:rFonts w:cstheme="minorHAnsi"/>
          <w:bCs/>
          <w:iCs/>
          <w:sz w:val="24"/>
          <w:szCs w:val="24"/>
          <w:u w:val="single"/>
        </w:rPr>
      </w:pPr>
      <w:r w:rsidRPr="00086C34">
        <w:rPr>
          <w:rFonts w:cstheme="minorHAnsi"/>
          <w:bCs/>
          <w:iCs/>
          <w:sz w:val="24"/>
          <w:szCs w:val="24"/>
          <w:u w:val="single"/>
        </w:rPr>
        <w:t>Justificación</w:t>
      </w:r>
    </w:p>
    <w:p w14:paraId="30F84829" w14:textId="3FF52948" w:rsidR="00086C34" w:rsidRDefault="00086C34" w:rsidP="009D0536">
      <w:pPr>
        <w:ind w:left="116"/>
        <w:jc w:val="both"/>
        <w:rPr>
          <w:rFonts w:cstheme="minorHAnsi"/>
          <w:bCs/>
          <w:iCs/>
          <w:sz w:val="24"/>
          <w:szCs w:val="24"/>
        </w:rPr>
      </w:pPr>
    </w:p>
    <w:p w14:paraId="3B3D8792" w14:textId="5A176DF6" w:rsidR="00086C34" w:rsidRPr="003426F5" w:rsidRDefault="00086C34" w:rsidP="009D0536">
      <w:pPr>
        <w:ind w:left="116"/>
        <w:jc w:val="both"/>
        <w:rPr>
          <w:rFonts w:cstheme="minorHAnsi"/>
          <w:bCs/>
          <w:iCs/>
          <w:sz w:val="24"/>
          <w:szCs w:val="24"/>
        </w:rPr>
      </w:pPr>
      <w:r>
        <w:rPr>
          <w:rFonts w:cstheme="minorHAnsi"/>
          <w:bCs/>
          <w:iCs/>
          <w:sz w:val="24"/>
          <w:szCs w:val="24"/>
        </w:rPr>
        <w:t>El sesgo en la información es una realidad que venimos observando con demasiada frecuencia en la información resultante del tratamiento de los datos. Consideramos imprescindible que esta ley establezca claramente una garantía de ausencia de sesgos hacia las personas con discapacidad.</w:t>
      </w:r>
    </w:p>
    <w:p w14:paraId="5C47F6FB" w14:textId="77777777" w:rsidR="009D0536" w:rsidRPr="00891A36" w:rsidRDefault="009D0536" w:rsidP="009D0536">
      <w:pPr>
        <w:ind w:left="116"/>
        <w:jc w:val="both"/>
        <w:rPr>
          <w:rFonts w:cstheme="minorHAnsi"/>
          <w:b/>
          <w:bCs/>
          <w:sz w:val="24"/>
          <w:szCs w:val="24"/>
          <w:u w:val="single"/>
        </w:rPr>
      </w:pPr>
    </w:p>
    <w:p w14:paraId="7ABC8363" w14:textId="0DE9B5FD" w:rsidR="009D0536" w:rsidRDefault="00831C92" w:rsidP="00E97C1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color w:val="000000"/>
          <w:sz w:val="24"/>
          <w:szCs w:val="24"/>
        </w:rPr>
      </w:pPr>
      <w:r>
        <w:rPr>
          <w:rFonts w:cstheme="minorHAnsi"/>
          <w:b/>
          <w:bCs/>
          <w:sz w:val="28"/>
          <w:szCs w:val="28"/>
        </w:rPr>
        <w:t>6</w:t>
      </w:r>
      <w:r w:rsidR="009D0536" w:rsidRPr="003D0859">
        <w:rPr>
          <w:rFonts w:cstheme="minorHAnsi"/>
          <w:b/>
          <w:bCs/>
          <w:sz w:val="28"/>
          <w:szCs w:val="28"/>
        </w:rPr>
        <w:t xml:space="preserve">ª Enmienda - </w:t>
      </w:r>
      <w:r w:rsidR="00E97C17" w:rsidRPr="00E97C17">
        <w:rPr>
          <w:rFonts w:cstheme="minorHAnsi"/>
          <w:b/>
          <w:bCs/>
          <w:sz w:val="28"/>
          <w:szCs w:val="28"/>
        </w:rPr>
        <w:t xml:space="preserve">De </w:t>
      </w:r>
      <w:r w:rsidR="00E97C17">
        <w:rPr>
          <w:rFonts w:cstheme="minorHAnsi"/>
          <w:b/>
          <w:bCs/>
          <w:sz w:val="28"/>
          <w:szCs w:val="28"/>
        </w:rPr>
        <w:t>adi</w:t>
      </w:r>
      <w:r w:rsidR="00E97C17" w:rsidRPr="00E97C17">
        <w:rPr>
          <w:rFonts w:cstheme="minorHAnsi"/>
          <w:b/>
          <w:bCs/>
          <w:sz w:val="28"/>
          <w:szCs w:val="28"/>
        </w:rPr>
        <w:t xml:space="preserve">ción – </w:t>
      </w:r>
      <w:r w:rsidR="00291612">
        <w:rPr>
          <w:rFonts w:cstheme="minorHAnsi"/>
          <w:b/>
          <w:bCs/>
          <w:sz w:val="28"/>
          <w:szCs w:val="28"/>
        </w:rPr>
        <w:t>Título IV</w:t>
      </w:r>
      <w:r w:rsidR="00291612" w:rsidRPr="00E97C17">
        <w:rPr>
          <w:rFonts w:cstheme="minorHAnsi"/>
          <w:b/>
          <w:bCs/>
          <w:sz w:val="28"/>
          <w:szCs w:val="28"/>
        </w:rPr>
        <w:t xml:space="preserve"> </w:t>
      </w:r>
      <w:r w:rsidR="00E97C17" w:rsidRPr="00E97C17">
        <w:rPr>
          <w:rFonts w:cstheme="minorHAnsi"/>
          <w:b/>
          <w:bCs/>
          <w:sz w:val="28"/>
          <w:szCs w:val="28"/>
        </w:rPr>
        <w:t xml:space="preserve">Artículo </w:t>
      </w:r>
      <w:r w:rsidR="00291612">
        <w:rPr>
          <w:rFonts w:cstheme="minorHAnsi"/>
          <w:b/>
          <w:bCs/>
          <w:sz w:val="28"/>
          <w:szCs w:val="28"/>
        </w:rPr>
        <w:t>63</w:t>
      </w:r>
      <w:r w:rsidR="00E97C17" w:rsidRPr="00E97C17">
        <w:rPr>
          <w:rFonts w:cstheme="minorHAnsi"/>
          <w:b/>
          <w:bCs/>
          <w:sz w:val="28"/>
          <w:szCs w:val="28"/>
        </w:rPr>
        <w:t xml:space="preserve">, párrafo </w:t>
      </w:r>
      <w:r w:rsidR="00E97C17">
        <w:rPr>
          <w:rFonts w:cstheme="minorHAnsi"/>
          <w:b/>
          <w:bCs/>
          <w:sz w:val="28"/>
          <w:szCs w:val="28"/>
        </w:rPr>
        <w:t>2, nueva letra</w:t>
      </w:r>
      <w:r w:rsidR="0065635B">
        <w:rPr>
          <w:rFonts w:cstheme="minorHAnsi"/>
          <w:b/>
          <w:bCs/>
          <w:sz w:val="28"/>
          <w:szCs w:val="28"/>
        </w:rPr>
        <w:t>s</w:t>
      </w:r>
      <w:r w:rsidR="00E97C17">
        <w:rPr>
          <w:rFonts w:cstheme="minorHAnsi"/>
          <w:b/>
          <w:bCs/>
          <w:sz w:val="28"/>
          <w:szCs w:val="28"/>
        </w:rPr>
        <w:t xml:space="preserve"> </w:t>
      </w:r>
      <w:r w:rsidR="00291612">
        <w:rPr>
          <w:rFonts w:cstheme="minorHAnsi"/>
          <w:b/>
          <w:bCs/>
          <w:sz w:val="28"/>
          <w:szCs w:val="28"/>
        </w:rPr>
        <w:t>d</w:t>
      </w:r>
      <w:r w:rsidR="0065635B">
        <w:rPr>
          <w:rFonts w:cstheme="minorHAnsi"/>
          <w:b/>
          <w:bCs/>
          <w:sz w:val="28"/>
          <w:szCs w:val="28"/>
        </w:rPr>
        <w:t>)</w:t>
      </w:r>
    </w:p>
    <w:p w14:paraId="4AF74198" w14:textId="2165CBA2" w:rsidR="009D0536" w:rsidRDefault="009D0536" w:rsidP="009D0536">
      <w:pPr>
        <w:spacing w:before="1"/>
        <w:ind w:left="116"/>
        <w:rPr>
          <w:rFonts w:eastAsia="Arial Nova" w:cstheme="minorHAnsi"/>
          <w:i/>
          <w:sz w:val="24"/>
          <w:szCs w:val="24"/>
          <w:u w:val="single"/>
        </w:rPr>
      </w:pPr>
    </w:p>
    <w:p w14:paraId="0465A9BD" w14:textId="77777777" w:rsidR="00291612" w:rsidRPr="00291612" w:rsidRDefault="00291612" w:rsidP="0013078F">
      <w:pPr>
        <w:pStyle w:val="Pa13"/>
        <w:spacing w:before="220" w:after="137"/>
        <w:ind w:firstLine="232"/>
        <w:jc w:val="both"/>
        <w:rPr>
          <w:rFonts w:asciiTheme="minorHAnsi" w:hAnsiTheme="minorHAnsi" w:cstheme="minorHAnsi"/>
          <w:color w:val="000000"/>
        </w:rPr>
      </w:pPr>
      <w:r w:rsidRPr="00291612">
        <w:rPr>
          <w:rFonts w:asciiTheme="minorHAnsi" w:hAnsiTheme="minorHAnsi" w:cstheme="minorHAnsi"/>
          <w:color w:val="000000"/>
        </w:rPr>
        <w:t>Artículo 63. Puntos de acceso seguros y lugares seguros.</w:t>
      </w:r>
    </w:p>
    <w:p w14:paraId="28C74BA3" w14:textId="77777777" w:rsidR="00291612" w:rsidRPr="00291612" w:rsidRDefault="00291612" w:rsidP="0013078F">
      <w:pPr>
        <w:pStyle w:val="Pa11"/>
        <w:ind w:left="232" w:firstLine="108"/>
        <w:jc w:val="both"/>
        <w:rPr>
          <w:rFonts w:asciiTheme="minorHAnsi" w:hAnsiTheme="minorHAnsi" w:cstheme="minorHAnsi"/>
          <w:color w:val="000000"/>
        </w:rPr>
      </w:pPr>
      <w:r w:rsidRPr="00291612">
        <w:rPr>
          <w:rFonts w:asciiTheme="minorHAnsi" w:hAnsiTheme="minorHAnsi" w:cstheme="minorHAnsi"/>
          <w:color w:val="000000"/>
        </w:rPr>
        <w:t>2. Son puntos de acceso seguros los dispositivos y sistemas de información que cumplan los requisitos que se determinen por la normativa del Comité técnico estatal de la Administración judicial electrónica, que en todo caso deberán reunir, al menos, los siguientes:</w:t>
      </w:r>
    </w:p>
    <w:p w14:paraId="00AD8130" w14:textId="77777777" w:rsidR="00291612" w:rsidRPr="00291612" w:rsidRDefault="00291612" w:rsidP="00291612">
      <w:pPr>
        <w:pStyle w:val="Pa6"/>
        <w:spacing w:before="160"/>
        <w:ind w:firstLine="340"/>
        <w:jc w:val="both"/>
        <w:rPr>
          <w:rFonts w:asciiTheme="minorHAnsi" w:hAnsiTheme="minorHAnsi" w:cstheme="minorHAnsi"/>
          <w:color w:val="000000"/>
        </w:rPr>
      </w:pPr>
      <w:r w:rsidRPr="00291612">
        <w:rPr>
          <w:rFonts w:asciiTheme="minorHAnsi" w:hAnsiTheme="minorHAnsi" w:cstheme="minorHAnsi"/>
          <w:color w:val="000000"/>
        </w:rPr>
        <w:t>a) Permitir la transmisión segura de las comunicaciones y la protección de la información.</w:t>
      </w:r>
    </w:p>
    <w:p w14:paraId="1B41C12B" w14:textId="77777777" w:rsidR="00291612" w:rsidRPr="00291612" w:rsidRDefault="00291612" w:rsidP="00291612">
      <w:pPr>
        <w:pStyle w:val="Pa11"/>
        <w:ind w:firstLine="340"/>
        <w:jc w:val="both"/>
        <w:rPr>
          <w:rFonts w:asciiTheme="minorHAnsi" w:hAnsiTheme="minorHAnsi" w:cstheme="minorHAnsi"/>
          <w:color w:val="000000"/>
        </w:rPr>
      </w:pPr>
      <w:r w:rsidRPr="00291612">
        <w:rPr>
          <w:rFonts w:asciiTheme="minorHAnsi" w:hAnsiTheme="minorHAnsi" w:cstheme="minorHAnsi"/>
          <w:color w:val="000000"/>
        </w:rPr>
        <w:t>b) Permitir y garantizar la identificación de los intervinientes.</w:t>
      </w:r>
    </w:p>
    <w:p w14:paraId="5941DC64" w14:textId="266403CD" w:rsidR="00291612" w:rsidRDefault="00291612" w:rsidP="00291612">
      <w:pPr>
        <w:spacing w:before="1"/>
        <w:ind w:left="340"/>
        <w:rPr>
          <w:rFonts w:cstheme="minorHAnsi"/>
          <w:color w:val="000000"/>
          <w:sz w:val="24"/>
          <w:szCs w:val="24"/>
        </w:rPr>
      </w:pPr>
      <w:r w:rsidRPr="00291612">
        <w:rPr>
          <w:rFonts w:cstheme="minorHAnsi"/>
          <w:color w:val="000000"/>
          <w:sz w:val="24"/>
          <w:szCs w:val="24"/>
        </w:rPr>
        <w:t>c) Cumplir los requisitos de integridad, interoperabilidad, confidencialidad y disponibilidad de lo actuado.</w:t>
      </w:r>
    </w:p>
    <w:p w14:paraId="65F29741" w14:textId="23256E17" w:rsidR="00291612" w:rsidRPr="00291612" w:rsidRDefault="00291612" w:rsidP="00291612">
      <w:pPr>
        <w:spacing w:before="1"/>
        <w:ind w:left="340"/>
        <w:rPr>
          <w:rFonts w:eastAsia="Arial Nova" w:cstheme="minorHAnsi"/>
          <w:b/>
          <w:bCs/>
          <w:i/>
          <w:color w:val="FF0000"/>
          <w:sz w:val="24"/>
          <w:szCs w:val="24"/>
          <w:u w:val="single"/>
        </w:rPr>
      </w:pPr>
      <w:r>
        <w:rPr>
          <w:rFonts w:cstheme="minorHAnsi"/>
          <w:b/>
          <w:bCs/>
          <w:color w:val="FF0000"/>
          <w:sz w:val="24"/>
          <w:szCs w:val="24"/>
          <w:u w:val="single"/>
        </w:rPr>
        <w:t>d) Garantizar la accesibilidad universal.</w:t>
      </w:r>
    </w:p>
    <w:p w14:paraId="3DBB8A3B" w14:textId="77777777" w:rsidR="00291612" w:rsidRDefault="00291612" w:rsidP="009D0536">
      <w:pPr>
        <w:spacing w:before="1"/>
        <w:ind w:left="116"/>
        <w:rPr>
          <w:rFonts w:eastAsia="Arial Nova" w:cstheme="minorHAnsi"/>
          <w:i/>
          <w:sz w:val="24"/>
          <w:szCs w:val="24"/>
          <w:u w:val="single"/>
        </w:rPr>
      </w:pPr>
    </w:p>
    <w:p w14:paraId="4DF19CE7" w14:textId="6823BAA0" w:rsidR="009D0536" w:rsidRPr="0013078F" w:rsidRDefault="009D0536" w:rsidP="009D0536">
      <w:pPr>
        <w:spacing w:before="1"/>
        <w:ind w:left="116"/>
        <w:rPr>
          <w:rFonts w:eastAsia="Arial Nova" w:cstheme="minorHAnsi"/>
          <w:iCs/>
          <w:sz w:val="24"/>
          <w:szCs w:val="24"/>
          <w:u w:val="single"/>
        </w:rPr>
      </w:pPr>
      <w:r w:rsidRPr="0013078F">
        <w:rPr>
          <w:rFonts w:eastAsia="Arial Nova" w:cstheme="minorHAnsi"/>
          <w:iCs/>
          <w:sz w:val="24"/>
          <w:szCs w:val="24"/>
          <w:u w:val="single"/>
        </w:rPr>
        <w:t>Justificación</w:t>
      </w:r>
    </w:p>
    <w:p w14:paraId="491D21F5" w14:textId="153288FB" w:rsidR="009D0536" w:rsidRPr="0013078F" w:rsidRDefault="009D0536" w:rsidP="009D0536">
      <w:pPr>
        <w:ind w:left="116"/>
        <w:jc w:val="both"/>
        <w:rPr>
          <w:rFonts w:cstheme="minorHAnsi"/>
          <w:bCs/>
          <w:iCs/>
          <w:sz w:val="24"/>
          <w:szCs w:val="24"/>
        </w:rPr>
      </w:pPr>
    </w:p>
    <w:p w14:paraId="67A79C45" w14:textId="736D1535" w:rsidR="0013078F" w:rsidRDefault="0013078F" w:rsidP="0013078F">
      <w:pPr>
        <w:ind w:left="116"/>
        <w:jc w:val="both"/>
        <w:rPr>
          <w:rFonts w:eastAsia="Arial Nova" w:cstheme="minorHAnsi"/>
          <w:sz w:val="24"/>
          <w:szCs w:val="24"/>
        </w:rPr>
      </w:pPr>
      <w:r w:rsidRPr="00891A36">
        <w:rPr>
          <w:rFonts w:eastAsia="Arial Nova" w:cstheme="minorHAnsi"/>
          <w:sz w:val="24"/>
          <w:szCs w:val="24"/>
        </w:rPr>
        <w:t>La accesibilidad universal es un elemento clave e indispensable para el pleno ejercicio y disfrute de los derechos de las personas con discapacidad; por tanto, esta, debe figurar de manera transversal en todo el contenido de la futura legislación, atendiendo al mandato de la Convención sobre los Derechos de las Personas con Discapacidad.</w:t>
      </w:r>
    </w:p>
    <w:p w14:paraId="3AD37B14" w14:textId="5E258C99" w:rsidR="00754096" w:rsidRDefault="00754096" w:rsidP="0013078F">
      <w:pPr>
        <w:ind w:left="116"/>
        <w:jc w:val="both"/>
        <w:rPr>
          <w:rFonts w:eastAsia="Arial Nova" w:cstheme="minorHAnsi"/>
          <w:sz w:val="24"/>
          <w:szCs w:val="24"/>
        </w:rPr>
      </w:pPr>
    </w:p>
    <w:p w14:paraId="618FBDB8" w14:textId="77777777" w:rsidR="00754096" w:rsidRDefault="00754096" w:rsidP="0013078F">
      <w:pPr>
        <w:ind w:left="116"/>
        <w:jc w:val="both"/>
        <w:rPr>
          <w:rFonts w:cstheme="minorHAnsi"/>
          <w:sz w:val="24"/>
          <w:szCs w:val="24"/>
        </w:rPr>
      </w:pPr>
    </w:p>
    <w:p w14:paraId="59213C4D" w14:textId="77777777" w:rsidR="00D027F5" w:rsidRPr="00891A36" w:rsidRDefault="00D027F5" w:rsidP="009D0536">
      <w:pPr>
        <w:ind w:left="116"/>
        <w:jc w:val="both"/>
        <w:rPr>
          <w:rFonts w:cstheme="minorHAnsi"/>
          <w:b/>
          <w:bCs/>
          <w:sz w:val="24"/>
          <w:szCs w:val="24"/>
          <w:u w:val="single"/>
        </w:rPr>
      </w:pPr>
    </w:p>
    <w:p w14:paraId="76162301" w14:textId="04CCAC88" w:rsidR="009D0536" w:rsidRPr="00891A36" w:rsidRDefault="00831C92"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color w:val="000000"/>
          <w:sz w:val="24"/>
          <w:szCs w:val="24"/>
        </w:rPr>
      </w:pPr>
      <w:r>
        <w:rPr>
          <w:rFonts w:cstheme="minorHAnsi"/>
          <w:b/>
          <w:bCs/>
          <w:sz w:val="28"/>
          <w:szCs w:val="28"/>
        </w:rPr>
        <w:t>7</w:t>
      </w:r>
      <w:r w:rsidR="009D0536" w:rsidRPr="003D0859">
        <w:rPr>
          <w:rFonts w:cstheme="minorHAnsi"/>
          <w:b/>
          <w:bCs/>
          <w:sz w:val="28"/>
          <w:szCs w:val="28"/>
        </w:rPr>
        <w:t xml:space="preserve">ª Enmienda - De modificación – </w:t>
      </w:r>
      <w:r w:rsidR="00754096">
        <w:rPr>
          <w:rFonts w:cstheme="minorHAnsi"/>
          <w:b/>
          <w:bCs/>
          <w:sz w:val="28"/>
          <w:szCs w:val="28"/>
        </w:rPr>
        <w:t>Título IV</w:t>
      </w:r>
      <w:r w:rsidR="00754096" w:rsidRPr="00E97C17">
        <w:rPr>
          <w:rFonts w:cstheme="minorHAnsi"/>
          <w:b/>
          <w:bCs/>
          <w:sz w:val="28"/>
          <w:szCs w:val="28"/>
        </w:rPr>
        <w:t xml:space="preserve"> Artículo </w:t>
      </w:r>
      <w:r w:rsidR="00754096">
        <w:rPr>
          <w:rFonts w:cstheme="minorHAnsi"/>
          <w:b/>
          <w:bCs/>
          <w:sz w:val="28"/>
          <w:szCs w:val="28"/>
        </w:rPr>
        <w:t>41, párrafo 2.</w:t>
      </w:r>
    </w:p>
    <w:p w14:paraId="11B2EC35" w14:textId="77777777" w:rsidR="005172BC" w:rsidRDefault="005172BC" w:rsidP="009D0536">
      <w:pPr>
        <w:spacing w:before="1"/>
        <w:ind w:left="116"/>
        <w:rPr>
          <w:rFonts w:eastAsia="Arial Nova" w:cstheme="minorHAnsi"/>
          <w:i/>
          <w:sz w:val="24"/>
          <w:szCs w:val="24"/>
          <w:u w:val="single"/>
        </w:rPr>
      </w:pPr>
    </w:p>
    <w:p w14:paraId="09DEA30A" w14:textId="03EE78F4" w:rsidR="0065635B" w:rsidRPr="00754096" w:rsidRDefault="00754096" w:rsidP="0065635B">
      <w:pPr>
        <w:spacing w:before="1"/>
        <w:ind w:left="116"/>
        <w:jc w:val="both"/>
        <w:rPr>
          <w:color w:val="000000"/>
          <w:sz w:val="24"/>
          <w:szCs w:val="24"/>
        </w:rPr>
      </w:pPr>
      <w:r w:rsidRPr="00754096">
        <w:rPr>
          <w:color w:val="000000"/>
          <w:sz w:val="24"/>
          <w:szCs w:val="24"/>
        </w:rPr>
        <w:t>Artículo 71. Entornos remotos de trabajo.</w:t>
      </w:r>
    </w:p>
    <w:p w14:paraId="6EA2ED92" w14:textId="7B80FE6F" w:rsidR="00754096" w:rsidRPr="00754096" w:rsidRDefault="00754096" w:rsidP="0065635B">
      <w:pPr>
        <w:spacing w:before="1"/>
        <w:ind w:left="116"/>
        <w:jc w:val="both"/>
        <w:rPr>
          <w:color w:val="000000"/>
          <w:sz w:val="24"/>
          <w:szCs w:val="24"/>
        </w:rPr>
      </w:pPr>
    </w:p>
    <w:p w14:paraId="1EADE708" w14:textId="38F339E7" w:rsidR="00754096" w:rsidRPr="00754096" w:rsidRDefault="00754096" w:rsidP="0065635B">
      <w:pPr>
        <w:spacing w:before="1"/>
        <w:ind w:left="116"/>
        <w:jc w:val="both"/>
        <w:rPr>
          <w:rFonts w:eastAsia="Arial Nova" w:cstheme="minorHAnsi"/>
          <w:b/>
          <w:bCs/>
          <w:color w:val="FF0000"/>
          <w:sz w:val="24"/>
          <w:szCs w:val="24"/>
          <w:u w:val="single"/>
        </w:rPr>
      </w:pPr>
      <w:r w:rsidRPr="00754096">
        <w:rPr>
          <w:color w:val="000000"/>
          <w:sz w:val="24"/>
          <w:szCs w:val="24"/>
        </w:rPr>
        <w:t>2. Los entornos remotos de trabajo deberán disponer de las medidas de seguridad adecuadas que garanticen la integridad, autenticidad, confidencialidad, calidad, protección y conservación de la información gestionada en los mismos, de acuerdo con la normativa que sea de aplicación y siempre que cumplan las condiciones de uso y seguridad que se considere por la administración competente. En concreto, asegurarán la identificación de los usuarios y el control de accesos.</w:t>
      </w:r>
      <w:r>
        <w:rPr>
          <w:color w:val="000000"/>
          <w:sz w:val="24"/>
          <w:szCs w:val="24"/>
        </w:rPr>
        <w:t xml:space="preserve"> </w:t>
      </w:r>
      <w:r>
        <w:rPr>
          <w:b/>
          <w:bCs/>
          <w:color w:val="FF0000"/>
          <w:sz w:val="24"/>
          <w:szCs w:val="24"/>
          <w:u w:val="single"/>
        </w:rPr>
        <w:t>Asimismo, deberán garantizar la accesibilidad universal.</w:t>
      </w:r>
    </w:p>
    <w:p w14:paraId="5261AB37" w14:textId="77777777" w:rsidR="00754096" w:rsidRDefault="00754096" w:rsidP="0065635B">
      <w:pPr>
        <w:spacing w:before="1"/>
        <w:ind w:left="116"/>
        <w:jc w:val="both"/>
        <w:rPr>
          <w:rFonts w:eastAsia="Arial Nova" w:cstheme="minorHAnsi"/>
          <w:i/>
          <w:iCs/>
          <w:sz w:val="24"/>
          <w:szCs w:val="24"/>
        </w:rPr>
      </w:pPr>
    </w:p>
    <w:p w14:paraId="72566551" w14:textId="660113CE" w:rsidR="00FD5F60" w:rsidRPr="00754096" w:rsidRDefault="00FD5F60" w:rsidP="0065635B">
      <w:pPr>
        <w:spacing w:before="1"/>
        <w:ind w:left="116"/>
        <w:jc w:val="both"/>
        <w:rPr>
          <w:rFonts w:eastAsia="Arial Nova" w:cstheme="minorHAnsi"/>
          <w:sz w:val="24"/>
          <w:szCs w:val="24"/>
          <w:u w:val="single"/>
        </w:rPr>
      </w:pPr>
      <w:r w:rsidRPr="00754096">
        <w:rPr>
          <w:rFonts w:eastAsia="Arial Nova" w:cstheme="minorHAnsi"/>
          <w:sz w:val="24"/>
          <w:szCs w:val="24"/>
          <w:u w:val="single"/>
        </w:rPr>
        <w:t>Justificación</w:t>
      </w:r>
    </w:p>
    <w:p w14:paraId="3389E0A6" w14:textId="4B7C16B2" w:rsidR="00FD5F60" w:rsidRDefault="00FD5F60" w:rsidP="0065635B">
      <w:pPr>
        <w:spacing w:before="1"/>
        <w:ind w:left="116"/>
        <w:jc w:val="both"/>
        <w:rPr>
          <w:rFonts w:eastAsia="Arial Nova" w:cstheme="minorHAnsi"/>
          <w:i/>
          <w:iCs/>
          <w:sz w:val="24"/>
          <w:szCs w:val="24"/>
        </w:rPr>
      </w:pPr>
    </w:p>
    <w:p w14:paraId="6A53C134" w14:textId="77777777" w:rsidR="00754096" w:rsidRDefault="00754096" w:rsidP="00754096">
      <w:pPr>
        <w:ind w:left="116"/>
        <w:jc w:val="both"/>
        <w:rPr>
          <w:rFonts w:eastAsia="Arial Nova" w:cstheme="minorHAnsi"/>
          <w:sz w:val="24"/>
          <w:szCs w:val="24"/>
        </w:rPr>
      </w:pPr>
      <w:r w:rsidRPr="00891A36">
        <w:rPr>
          <w:rFonts w:eastAsia="Arial Nova" w:cstheme="minorHAnsi"/>
          <w:sz w:val="24"/>
          <w:szCs w:val="24"/>
        </w:rPr>
        <w:t>La accesibilidad universal es un elemento clave e indispensable para el pleno ejercicio y disfrute de los derechos de las personas con discapacidad; por tanto, esta, debe figurar de manera transversal en todo el contenido de la futura legislación, atendiendo al mandato de la Convención sobre los Derechos de las Personas con Discapacidad.</w:t>
      </w:r>
    </w:p>
    <w:p w14:paraId="52AAE1B3" w14:textId="77777777" w:rsidR="0065635B" w:rsidRPr="00891A36" w:rsidRDefault="0065635B" w:rsidP="0065635B">
      <w:pPr>
        <w:ind w:left="116"/>
        <w:jc w:val="both"/>
        <w:rPr>
          <w:rFonts w:cstheme="minorHAnsi"/>
          <w:b/>
          <w:bCs/>
          <w:sz w:val="24"/>
          <w:szCs w:val="24"/>
          <w:u w:val="single"/>
        </w:rPr>
      </w:pPr>
    </w:p>
    <w:p w14:paraId="00A172B6" w14:textId="15A89F72" w:rsidR="0065635B" w:rsidRPr="00891A36" w:rsidRDefault="00831C92" w:rsidP="0065635B">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color w:val="000000"/>
          <w:sz w:val="24"/>
          <w:szCs w:val="24"/>
        </w:rPr>
      </w:pPr>
      <w:r>
        <w:rPr>
          <w:rFonts w:cstheme="minorHAnsi"/>
          <w:b/>
          <w:bCs/>
          <w:sz w:val="28"/>
          <w:szCs w:val="28"/>
        </w:rPr>
        <w:t>8</w:t>
      </w:r>
      <w:r w:rsidR="0065635B" w:rsidRPr="003D0859">
        <w:rPr>
          <w:rFonts w:cstheme="minorHAnsi"/>
          <w:b/>
          <w:bCs/>
          <w:sz w:val="28"/>
          <w:szCs w:val="28"/>
        </w:rPr>
        <w:t xml:space="preserve">ª Enmienda - De </w:t>
      </w:r>
      <w:r w:rsidR="0065635B">
        <w:rPr>
          <w:rFonts w:cstheme="minorHAnsi"/>
          <w:b/>
          <w:bCs/>
          <w:sz w:val="28"/>
          <w:szCs w:val="28"/>
        </w:rPr>
        <w:t>adi</w:t>
      </w:r>
      <w:r w:rsidR="0065635B" w:rsidRPr="003D0859">
        <w:rPr>
          <w:rFonts w:cstheme="minorHAnsi"/>
          <w:b/>
          <w:bCs/>
          <w:sz w:val="28"/>
          <w:szCs w:val="28"/>
        </w:rPr>
        <w:t xml:space="preserve">ción – </w:t>
      </w:r>
      <w:r w:rsidR="00921C14">
        <w:rPr>
          <w:rFonts w:cstheme="minorHAnsi"/>
          <w:b/>
          <w:bCs/>
          <w:sz w:val="28"/>
          <w:szCs w:val="28"/>
        </w:rPr>
        <w:t xml:space="preserve">Título VII, </w:t>
      </w:r>
      <w:r w:rsidR="0065635B" w:rsidRPr="009D0536">
        <w:rPr>
          <w:rFonts w:cstheme="minorHAnsi"/>
          <w:b/>
          <w:bCs/>
          <w:sz w:val="28"/>
          <w:szCs w:val="28"/>
        </w:rPr>
        <w:t xml:space="preserve">Artículo </w:t>
      </w:r>
      <w:r w:rsidR="00921C14">
        <w:rPr>
          <w:rFonts w:cstheme="minorHAnsi"/>
          <w:b/>
          <w:bCs/>
          <w:sz w:val="28"/>
          <w:szCs w:val="28"/>
        </w:rPr>
        <w:t>94</w:t>
      </w:r>
      <w:r w:rsidR="0065635B" w:rsidRPr="009D0536">
        <w:rPr>
          <w:rFonts w:cstheme="minorHAnsi"/>
          <w:b/>
          <w:bCs/>
          <w:sz w:val="28"/>
          <w:szCs w:val="28"/>
        </w:rPr>
        <w:t xml:space="preserve">, </w:t>
      </w:r>
      <w:r w:rsidR="0065635B">
        <w:rPr>
          <w:rFonts w:cstheme="minorHAnsi"/>
          <w:b/>
          <w:bCs/>
          <w:sz w:val="28"/>
          <w:szCs w:val="28"/>
        </w:rPr>
        <w:t>nuevos párrafos 2 y 3</w:t>
      </w:r>
    </w:p>
    <w:p w14:paraId="16D4C601" w14:textId="77777777" w:rsidR="0065635B" w:rsidRDefault="0065635B" w:rsidP="0065635B">
      <w:pPr>
        <w:spacing w:before="1"/>
        <w:ind w:left="116"/>
        <w:jc w:val="both"/>
        <w:rPr>
          <w:rFonts w:eastAsia="Arial Nova" w:cstheme="minorHAnsi"/>
          <w:sz w:val="24"/>
          <w:szCs w:val="24"/>
        </w:rPr>
      </w:pPr>
    </w:p>
    <w:p w14:paraId="2B3B1CC7" w14:textId="77777777" w:rsidR="00921C14" w:rsidRPr="00921C14" w:rsidRDefault="00921C14" w:rsidP="00921C14">
      <w:pPr>
        <w:pStyle w:val="Pa13"/>
        <w:spacing w:before="220" w:after="137"/>
        <w:ind w:left="232"/>
        <w:jc w:val="both"/>
        <w:rPr>
          <w:rFonts w:asciiTheme="minorHAnsi" w:hAnsiTheme="minorHAnsi" w:cstheme="minorHAnsi"/>
          <w:color w:val="000000"/>
        </w:rPr>
      </w:pPr>
      <w:r w:rsidRPr="00921C14">
        <w:rPr>
          <w:rFonts w:asciiTheme="minorHAnsi" w:hAnsiTheme="minorHAnsi" w:cstheme="minorHAnsi"/>
          <w:color w:val="000000"/>
        </w:rPr>
        <w:t>Artículo 94. Notarías y Registros de la Propiedad, Bienes Muebles y Mercantiles y cualesquiera otros Registros Públicos con los que se relaciona la Administración de Justicia y el resto de administraciones públicas.</w:t>
      </w:r>
    </w:p>
    <w:p w14:paraId="15CBBC7D" w14:textId="7106E6B6" w:rsidR="00921C14" w:rsidRPr="00921C14" w:rsidRDefault="00921C14" w:rsidP="00921C14">
      <w:pPr>
        <w:pStyle w:val="Pa11"/>
        <w:ind w:left="232"/>
        <w:jc w:val="both"/>
        <w:rPr>
          <w:rFonts w:asciiTheme="minorHAnsi" w:hAnsiTheme="minorHAnsi" w:cstheme="minorHAnsi"/>
          <w:color w:val="000000"/>
        </w:rPr>
      </w:pPr>
      <w:r w:rsidRPr="00921C14">
        <w:rPr>
          <w:rFonts w:asciiTheme="minorHAnsi" w:hAnsiTheme="minorHAnsi" w:cstheme="minorHAnsi"/>
          <w:color w:val="000000"/>
        </w:rPr>
        <w:t>Los registros electrónicos a disposición de los Registros de la Propiedad, Mercantiles y de Bienes Muebles, y cualesquiera otros Registros Públicos con los que se relaciona la Administración de Justicia, así como el protocolo electrónico de las Notarías, garantizarán la accesibilidad y consulta</w:t>
      </w:r>
      <w:r w:rsidR="003D3965">
        <w:rPr>
          <w:rFonts w:asciiTheme="minorHAnsi" w:hAnsiTheme="minorHAnsi" w:cstheme="minorHAnsi"/>
          <w:color w:val="000000"/>
        </w:rPr>
        <w:t xml:space="preserve"> </w:t>
      </w:r>
      <w:r w:rsidR="003D3965">
        <w:rPr>
          <w:rFonts w:asciiTheme="minorHAnsi" w:hAnsiTheme="minorHAnsi" w:cstheme="minorHAnsi"/>
          <w:b/>
          <w:bCs/>
          <w:color w:val="FF0000"/>
          <w:u w:val="single"/>
        </w:rPr>
        <w:t>en formato universalmente accesible</w:t>
      </w:r>
      <w:r w:rsidRPr="00921C14">
        <w:rPr>
          <w:rFonts w:asciiTheme="minorHAnsi" w:hAnsiTheme="minorHAnsi" w:cstheme="minorHAnsi"/>
          <w:color w:val="000000"/>
        </w:rPr>
        <w:t>, para fines jurisdiccionales, desde los tribunales, oficinas judiciales y oficinas fiscales, y la interoperabilidad con los sistemas de gestión procesal, si fuera necesario a través de los servicios comunes a todas las administraciones competentes previstos en esta ley, posibilitando la automatización de interacciones habituales entre el órgano judicial y el Registro o el órgano judicial y la Notaría, que no exijan el ejercicio de la función calificadora ni de la fe pública.</w:t>
      </w:r>
    </w:p>
    <w:p w14:paraId="07808700" w14:textId="77777777" w:rsidR="00921C14" w:rsidRDefault="00921C14" w:rsidP="00921C14">
      <w:pPr>
        <w:pStyle w:val="Pa11"/>
        <w:ind w:left="232"/>
        <w:jc w:val="both"/>
        <w:rPr>
          <w:rFonts w:asciiTheme="minorHAnsi" w:hAnsiTheme="minorHAnsi" w:cstheme="minorHAnsi"/>
          <w:color w:val="000000"/>
        </w:rPr>
      </w:pPr>
    </w:p>
    <w:p w14:paraId="440AB1BF" w14:textId="40342B50" w:rsidR="00921C14" w:rsidRPr="00921C14" w:rsidRDefault="00921C14" w:rsidP="00921C14">
      <w:pPr>
        <w:pStyle w:val="Pa11"/>
        <w:ind w:left="232"/>
        <w:jc w:val="both"/>
        <w:rPr>
          <w:rFonts w:asciiTheme="minorHAnsi" w:hAnsiTheme="minorHAnsi" w:cstheme="minorHAnsi"/>
          <w:b/>
          <w:bCs/>
          <w:color w:val="FF0000"/>
          <w:u w:val="single"/>
        </w:rPr>
      </w:pPr>
      <w:r w:rsidRPr="00921C14">
        <w:rPr>
          <w:rFonts w:asciiTheme="minorHAnsi" w:hAnsiTheme="minorHAnsi" w:cstheme="minorHAnsi"/>
          <w:color w:val="000000"/>
        </w:rPr>
        <w:t xml:space="preserve">La interconexión se hará por un protocolo electrónico de accesibilidad y consulta, que será único para toda la Administración de Justicia, bajo acuerdo del Comité técnico estatal de la Administración judicial electrónica. </w:t>
      </w:r>
      <w:r>
        <w:rPr>
          <w:rFonts w:asciiTheme="minorHAnsi" w:hAnsiTheme="minorHAnsi" w:cstheme="minorHAnsi"/>
          <w:b/>
          <w:bCs/>
          <w:color w:val="FF0000"/>
          <w:u w:val="single"/>
        </w:rPr>
        <w:t>Dicho protocolo deberá garantizar la accesibilidad universal para las personas con discapacidad.</w:t>
      </w:r>
    </w:p>
    <w:p w14:paraId="17084D97" w14:textId="59F04758" w:rsidR="00921C14" w:rsidRDefault="00921C14" w:rsidP="00900304">
      <w:pPr>
        <w:spacing w:before="1"/>
        <w:ind w:left="116"/>
        <w:jc w:val="both"/>
        <w:rPr>
          <w:rFonts w:eastAsia="Arial Nova" w:cstheme="minorHAnsi"/>
          <w:i/>
          <w:iCs/>
          <w:sz w:val="24"/>
          <w:szCs w:val="24"/>
        </w:rPr>
      </w:pPr>
    </w:p>
    <w:p w14:paraId="71EDDB66" w14:textId="4D06CF7D" w:rsidR="003C56CD" w:rsidRDefault="003C56CD" w:rsidP="00900304">
      <w:pPr>
        <w:spacing w:before="1"/>
        <w:ind w:left="116"/>
        <w:jc w:val="both"/>
        <w:rPr>
          <w:rFonts w:eastAsia="Arial Nova" w:cstheme="minorHAnsi"/>
          <w:i/>
          <w:iCs/>
          <w:sz w:val="24"/>
          <w:szCs w:val="24"/>
        </w:rPr>
      </w:pPr>
    </w:p>
    <w:p w14:paraId="1952DCEF" w14:textId="77777777" w:rsidR="003C56CD" w:rsidRDefault="003C56CD" w:rsidP="00900304">
      <w:pPr>
        <w:spacing w:before="1"/>
        <w:ind w:left="116"/>
        <w:jc w:val="both"/>
        <w:rPr>
          <w:rFonts w:eastAsia="Arial Nova" w:cstheme="minorHAnsi"/>
          <w:i/>
          <w:iCs/>
          <w:sz w:val="24"/>
          <w:szCs w:val="24"/>
        </w:rPr>
      </w:pPr>
    </w:p>
    <w:p w14:paraId="1C51BE72" w14:textId="5F74986C" w:rsidR="00900304" w:rsidRPr="003D3965" w:rsidRDefault="00900304" w:rsidP="00900304">
      <w:pPr>
        <w:spacing w:before="1"/>
        <w:ind w:left="116"/>
        <w:jc w:val="both"/>
        <w:rPr>
          <w:rFonts w:eastAsia="Arial Nova" w:cstheme="minorHAnsi"/>
          <w:sz w:val="24"/>
          <w:szCs w:val="24"/>
          <w:u w:val="single"/>
        </w:rPr>
      </w:pPr>
      <w:r w:rsidRPr="003D3965">
        <w:rPr>
          <w:rFonts w:eastAsia="Arial Nova" w:cstheme="minorHAnsi"/>
          <w:sz w:val="24"/>
          <w:szCs w:val="24"/>
          <w:u w:val="single"/>
        </w:rPr>
        <w:lastRenderedPageBreak/>
        <w:t>Justificación</w:t>
      </w:r>
    </w:p>
    <w:p w14:paraId="0703CE98" w14:textId="77777777" w:rsidR="00900304" w:rsidRPr="00921C14" w:rsidRDefault="00900304" w:rsidP="00900304">
      <w:pPr>
        <w:spacing w:before="1"/>
        <w:ind w:left="116"/>
        <w:jc w:val="both"/>
        <w:rPr>
          <w:rFonts w:eastAsia="Arial Nova" w:cstheme="minorHAnsi"/>
          <w:sz w:val="24"/>
          <w:szCs w:val="24"/>
        </w:rPr>
      </w:pPr>
    </w:p>
    <w:p w14:paraId="38195305" w14:textId="63DF8E28" w:rsidR="00900304" w:rsidRPr="00921C14" w:rsidRDefault="00900304" w:rsidP="00900304">
      <w:pPr>
        <w:ind w:left="116"/>
        <w:jc w:val="both"/>
        <w:rPr>
          <w:rFonts w:cstheme="minorHAnsi"/>
          <w:bCs/>
          <w:sz w:val="24"/>
          <w:szCs w:val="24"/>
        </w:rPr>
      </w:pPr>
      <w:r w:rsidRPr="00921C14">
        <w:rPr>
          <w:rFonts w:cstheme="minorHAnsi"/>
          <w:bCs/>
          <w:sz w:val="24"/>
          <w:szCs w:val="24"/>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921C14">
        <w:rPr>
          <w:rFonts w:eastAsia="Arial Nova" w:cstheme="minorHAnsi"/>
          <w:sz w:val="24"/>
          <w:szCs w:val="24"/>
        </w:rPr>
        <w:t>cumpliendo el mandato contenido en la Convención sobre los Derechos de las Personas con Discapacidad</w:t>
      </w:r>
      <w:r w:rsidRPr="00921C14">
        <w:rPr>
          <w:rFonts w:cstheme="minorHAnsi"/>
          <w:bCs/>
          <w:sz w:val="24"/>
          <w:szCs w:val="24"/>
        </w:rPr>
        <w:t>.</w:t>
      </w:r>
    </w:p>
    <w:p w14:paraId="2EF34273" w14:textId="77777777" w:rsidR="0065635B" w:rsidRPr="00891A36" w:rsidRDefault="0065635B" w:rsidP="0065635B">
      <w:pPr>
        <w:ind w:left="116"/>
        <w:jc w:val="both"/>
        <w:rPr>
          <w:rFonts w:cstheme="minorHAnsi"/>
          <w:b/>
          <w:bCs/>
          <w:sz w:val="24"/>
          <w:szCs w:val="24"/>
          <w:u w:val="single"/>
        </w:rPr>
      </w:pPr>
    </w:p>
    <w:p w14:paraId="721DB31F" w14:textId="77777777" w:rsidR="00831C92" w:rsidRPr="00A616AD" w:rsidRDefault="00831C92" w:rsidP="00831C92">
      <w:pPr>
        <w:ind w:left="116"/>
        <w:jc w:val="both"/>
        <w:rPr>
          <w:rFonts w:cstheme="minorHAnsi"/>
          <w:sz w:val="24"/>
          <w:szCs w:val="24"/>
        </w:rPr>
      </w:pPr>
    </w:p>
    <w:p w14:paraId="786D9C47" w14:textId="4AAA2C29" w:rsidR="00831C92" w:rsidRPr="003D0859" w:rsidRDefault="00831C92" w:rsidP="00831C92">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 xml:space="preserve">9ª </w:t>
      </w:r>
      <w:r w:rsidRPr="003D0859">
        <w:rPr>
          <w:rFonts w:cstheme="minorHAnsi"/>
          <w:b/>
          <w:bCs/>
          <w:sz w:val="28"/>
          <w:szCs w:val="28"/>
        </w:rPr>
        <w:t xml:space="preserve">Enmienda </w:t>
      </w:r>
      <w:r>
        <w:rPr>
          <w:rFonts w:cstheme="minorHAnsi"/>
          <w:b/>
          <w:bCs/>
          <w:sz w:val="28"/>
          <w:szCs w:val="28"/>
        </w:rPr>
        <w:t>–</w:t>
      </w:r>
      <w:r w:rsidRPr="003D0859">
        <w:rPr>
          <w:rFonts w:cstheme="minorHAnsi"/>
          <w:b/>
          <w:bCs/>
          <w:sz w:val="28"/>
          <w:szCs w:val="28"/>
        </w:rPr>
        <w:t xml:space="preserve"> </w:t>
      </w:r>
      <w:r>
        <w:rPr>
          <w:rFonts w:cstheme="minorHAnsi"/>
          <w:b/>
          <w:bCs/>
          <w:sz w:val="28"/>
          <w:szCs w:val="28"/>
        </w:rPr>
        <w:t>Consideraciones generales sobre el impacto de género</w:t>
      </w:r>
    </w:p>
    <w:p w14:paraId="20113EEA" w14:textId="77777777" w:rsidR="00831C92" w:rsidRDefault="00831C92" w:rsidP="00831C92">
      <w:pPr>
        <w:ind w:left="116"/>
        <w:jc w:val="both"/>
        <w:rPr>
          <w:rFonts w:cstheme="minorHAnsi"/>
          <w:b/>
          <w:bCs/>
          <w:sz w:val="24"/>
          <w:szCs w:val="24"/>
          <w:u w:val="single"/>
        </w:rPr>
      </w:pPr>
    </w:p>
    <w:p w14:paraId="50A758DE" w14:textId="77777777" w:rsidR="00831C92" w:rsidRDefault="00831C92" w:rsidP="00831C92">
      <w:pPr>
        <w:ind w:left="116"/>
        <w:jc w:val="both"/>
        <w:rPr>
          <w:rFonts w:cstheme="minorHAnsi"/>
          <w:sz w:val="24"/>
          <w:szCs w:val="24"/>
        </w:rPr>
      </w:pPr>
      <w:r>
        <w:rPr>
          <w:rFonts w:cstheme="minorHAnsi"/>
          <w:sz w:val="24"/>
          <w:szCs w:val="24"/>
        </w:rPr>
        <w:t>Desde el CERMI valoramos positivamente que el Proyecto de Ley contemple en su exposición de motivos el impacto de género. Sin embargo, no vemos reflejada esa preocupación a lo largo del articulado.</w:t>
      </w:r>
    </w:p>
    <w:p w14:paraId="3F092FE3" w14:textId="77777777" w:rsidR="00831C92" w:rsidRDefault="00831C92" w:rsidP="00831C92">
      <w:pPr>
        <w:ind w:left="116"/>
        <w:jc w:val="both"/>
        <w:rPr>
          <w:rFonts w:cstheme="minorHAnsi"/>
          <w:sz w:val="24"/>
          <w:szCs w:val="24"/>
        </w:rPr>
      </w:pPr>
    </w:p>
    <w:p w14:paraId="5E7EFF3D" w14:textId="596E695F" w:rsidR="00831C92" w:rsidRDefault="00831C92" w:rsidP="00831C92">
      <w:pPr>
        <w:ind w:left="116"/>
        <w:jc w:val="both"/>
        <w:rPr>
          <w:rFonts w:cstheme="minorHAnsi"/>
          <w:sz w:val="24"/>
          <w:szCs w:val="24"/>
        </w:rPr>
      </w:pPr>
      <w:r>
        <w:rPr>
          <w:rFonts w:cstheme="minorHAnsi"/>
          <w:sz w:val="24"/>
          <w:szCs w:val="24"/>
        </w:rPr>
        <w:t>En este sentido, llamamos la atención sobre el hecho de que en el proceso de digitalización del servicio público de justicia debe tenerse en consideración la situación de mayor exclusión de las mujeres con discapacidad, por el efecto de intersección entre varios factores que contribuyen a agravar ese riesgo de exclusión: el género, la discapacidad, la edad, la ruralidad, entre otros.</w:t>
      </w:r>
    </w:p>
    <w:p w14:paraId="4912B6F4" w14:textId="77777777" w:rsidR="00831C92" w:rsidRDefault="00831C92" w:rsidP="00831C92">
      <w:pPr>
        <w:ind w:left="116"/>
        <w:jc w:val="both"/>
        <w:rPr>
          <w:rFonts w:cstheme="minorHAnsi"/>
          <w:sz w:val="24"/>
          <w:szCs w:val="24"/>
        </w:rPr>
      </w:pPr>
    </w:p>
    <w:p w14:paraId="20B85027" w14:textId="77777777" w:rsidR="00EA31A6" w:rsidRPr="00891A36" w:rsidRDefault="00EA31A6" w:rsidP="00EA31A6">
      <w:pPr>
        <w:ind w:left="116"/>
        <w:jc w:val="both"/>
        <w:rPr>
          <w:rFonts w:cstheme="minorHAnsi"/>
          <w:b/>
          <w:bCs/>
          <w:sz w:val="24"/>
          <w:szCs w:val="24"/>
          <w:u w:val="single"/>
        </w:rPr>
      </w:pPr>
    </w:p>
    <w:p w14:paraId="3C6EB103" w14:textId="77777777" w:rsidR="001A6218" w:rsidRDefault="001A6218" w:rsidP="003D0859">
      <w:pPr>
        <w:ind w:left="116"/>
        <w:jc w:val="center"/>
      </w:pPr>
    </w:p>
    <w:p w14:paraId="08C558AB" w14:textId="77777777" w:rsidR="003D4777" w:rsidRDefault="003D4777" w:rsidP="003D0859">
      <w:pPr>
        <w:ind w:left="116"/>
        <w:jc w:val="center"/>
      </w:pPr>
    </w:p>
    <w:p w14:paraId="5C4057A6" w14:textId="326439DC" w:rsidR="003D0859" w:rsidRDefault="00000000" w:rsidP="003D0859">
      <w:pPr>
        <w:ind w:left="116"/>
        <w:jc w:val="center"/>
        <w:rPr>
          <w:rFonts w:eastAsia="Arial Nova" w:cstheme="minorHAnsi"/>
          <w:sz w:val="24"/>
          <w:szCs w:val="24"/>
        </w:rPr>
      </w:pPr>
      <w:hyperlink r:id="rId8" w:history="1">
        <w:r w:rsidR="003D0859" w:rsidRPr="009D5DFF">
          <w:rPr>
            <w:rStyle w:val="Hipervnculo"/>
            <w:rFonts w:eastAsia="Arial Nova" w:cstheme="minorHAnsi"/>
            <w:sz w:val="24"/>
            <w:szCs w:val="24"/>
          </w:rPr>
          <w:t>www.cermi.es</w:t>
        </w:r>
      </w:hyperlink>
    </w:p>
    <w:p w14:paraId="2B6F6076" w14:textId="77777777" w:rsidR="003D0859" w:rsidRPr="00891A36" w:rsidRDefault="003D0859" w:rsidP="003D0859">
      <w:pPr>
        <w:ind w:left="116"/>
        <w:jc w:val="center"/>
        <w:rPr>
          <w:rFonts w:eastAsia="Arial Nova" w:cstheme="minorHAnsi"/>
          <w:sz w:val="24"/>
          <w:szCs w:val="24"/>
        </w:rPr>
      </w:pPr>
    </w:p>
    <w:sectPr w:rsidR="003D0859" w:rsidRPr="00891A36" w:rsidSect="003C56CD">
      <w:footerReference w:type="default" r:id="rId9"/>
      <w:pgSz w:w="11910" w:h="16850"/>
      <w:pgMar w:top="1985"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0F6A" w14:textId="77777777" w:rsidR="00254086" w:rsidRDefault="00254086" w:rsidP="00326A77">
      <w:r>
        <w:separator/>
      </w:r>
    </w:p>
  </w:endnote>
  <w:endnote w:type="continuationSeparator" w:id="0">
    <w:p w14:paraId="56374136" w14:textId="77777777" w:rsidR="00254086" w:rsidRDefault="00254086" w:rsidP="0032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panose1 w:val="020B0504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46559"/>
      <w:docPartObj>
        <w:docPartGallery w:val="Page Numbers (Bottom of Page)"/>
        <w:docPartUnique/>
      </w:docPartObj>
    </w:sdtPr>
    <w:sdtContent>
      <w:p w14:paraId="568C7687" w14:textId="0CA77AB3" w:rsidR="003C56CD" w:rsidRDefault="003C56CD">
        <w:pPr>
          <w:pStyle w:val="Piedepgina"/>
          <w:jc w:val="center"/>
        </w:pPr>
        <w:r>
          <w:fldChar w:fldCharType="begin"/>
        </w:r>
        <w:r>
          <w:instrText>PAGE   \* MERGEFORMAT</w:instrText>
        </w:r>
        <w:r>
          <w:fldChar w:fldCharType="separate"/>
        </w:r>
        <w:r>
          <w:t>2</w:t>
        </w:r>
        <w:r>
          <w:fldChar w:fldCharType="end"/>
        </w:r>
      </w:p>
    </w:sdtContent>
  </w:sdt>
  <w:p w14:paraId="38324634" w14:textId="77777777" w:rsidR="00326A77" w:rsidRDefault="00326A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9FCB" w14:textId="77777777" w:rsidR="00254086" w:rsidRDefault="00254086" w:rsidP="00326A77">
      <w:r>
        <w:separator/>
      </w:r>
    </w:p>
  </w:footnote>
  <w:footnote w:type="continuationSeparator" w:id="0">
    <w:p w14:paraId="3FB80BA5" w14:textId="77777777" w:rsidR="00254086" w:rsidRDefault="00254086" w:rsidP="0032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2B85"/>
    <w:multiLevelType w:val="hybridMultilevel"/>
    <w:tmpl w:val="719619E4"/>
    <w:lvl w:ilvl="0" w:tplc="ADA4F536">
      <w:start w:val="1"/>
      <w:numFmt w:val="decimal"/>
      <w:lvlText w:val="%1."/>
      <w:lvlJc w:val="left"/>
      <w:pPr>
        <w:ind w:left="117" w:hanging="240"/>
      </w:pPr>
      <w:rPr>
        <w:rFonts w:ascii="Arial Nova" w:eastAsia="Arial Nova" w:hAnsi="Arial Nova" w:hint="default"/>
        <w:spacing w:val="1"/>
        <w:sz w:val="24"/>
        <w:szCs w:val="24"/>
      </w:rPr>
    </w:lvl>
    <w:lvl w:ilvl="1" w:tplc="BCB28318">
      <w:start w:val="1"/>
      <w:numFmt w:val="bullet"/>
      <w:lvlText w:val="•"/>
      <w:lvlJc w:val="left"/>
      <w:pPr>
        <w:ind w:left="980" w:hanging="240"/>
      </w:pPr>
      <w:rPr>
        <w:rFonts w:hint="default"/>
      </w:rPr>
    </w:lvl>
    <w:lvl w:ilvl="2" w:tplc="CFB00950">
      <w:start w:val="1"/>
      <w:numFmt w:val="bullet"/>
      <w:lvlText w:val="•"/>
      <w:lvlJc w:val="left"/>
      <w:pPr>
        <w:ind w:left="1843" w:hanging="240"/>
      </w:pPr>
      <w:rPr>
        <w:rFonts w:hint="default"/>
      </w:rPr>
    </w:lvl>
    <w:lvl w:ilvl="3" w:tplc="B7CA5018">
      <w:start w:val="1"/>
      <w:numFmt w:val="bullet"/>
      <w:lvlText w:val="•"/>
      <w:lvlJc w:val="left"/>
      <w:pPr>
        <w:ind w:left="2706" w:hanging="240"/>
      </w:pPr>
      <w:rPr>
        <w:rFonts w:hint="default"/>
      </w:rPr>
    </w:lvl>
    <w:lvl w:ilvl="4" w:tplc="0296757C">
      <w:start w:val="1"/>
      <w:numFmt w:val="bullet"/>
      <w:lvlText w:val="•"/>
      <w:lvlJc w:val="left"/>
      <w:pPr>
        <w:ind w:left="3570" w:hanging="240"/>
      </w:pPr>
      <w:rPr>
        <w:rFonts w:hint="default"/>
      </w:rPr>
    </w:lvl>
    <w:lvl w:ilvl="5" w:tplc="902201E0">
      <w:start w:val="1"/>
      <w:numFmt w:val="bullet"/>
      <w:lvlText w:val="•"/>
      <w:lvlJc w:val="left"/>
      <w:pPr>
        <w:ind w:left="4433" w:hanging="240"/>
      </w:pPr>
      <w:rPr>
        <w:rFonts w:hint="default"/>
      </w:rPr>
    </w:lvl>
    <w:lvl w:ilvl="6" w:tplc="59023AC4">
      <w:start w:val="1"/>
      <w:numFmt w:val="bullet"/>
      <w:lvlText w:val="•"/>
      <w:lvlJc w:val="left"/>
      <w:pPr>
        <w:ind w:left="5296" w:hanging="240"/>
      </w:pPr>
      <w:rPr>
        <w:rFonts w:hint="default"/>
      </w:rPr>
    </w:lvl>
    <w:lvl w:ilvl="7" w:tplc="E444805C">
      <w:start w:val="1"/>
      <w:numFmt w:val="bullet"/>
      <w:lvlText w:val="•"/>
      <w:lvlJc w:val="left"/>
      <w:pPr>
        <w:ind w:left="6160" w:hanging="240"/>
      </w:pPr>
      <w:rPr>
        <w:rFonts w:hint="default"/>
      </w:rPr>
    </w:lvl>
    <w:lvl w:ilvl="8" w:tplc="D9369586">
      <w:start w:val="1"/>
      <w:numFmt w:val="bullet"/>
      <w:lvlText w:val="•"/>
      <w:lvlJc w:val="left"/>
      <w:pPr>
        <w:ind w:left="7023" w:hanging="240"/>
      </w:pPr>
      <w:rPr>
        <w:rFonts w:hint="default"/>
      </w:rPr>
    </w:lvl>
  </w:abstractNum>
  <w:num w:numId="1" w16cid:durableId="144947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D1"/>
    <w:rsid w:val="0003270B"/>
    <w:rsid w:val="00050C3F"/>
    <w:rsid w:val="000536D8"/>
    <w:rsid w:val="00086C34"/>
    <w:rsid w:val="000C3B55"/>
    <w:rsid w:val="000F336E"/>
    <w:rsid w:val="0013078F"/>
    <w:rsid w:val="00146836"/>
    <w:rsid w:val="00167F28"/>
    <w:rsid w:val="001A6218"/>
    <w:rsid w:val="001D218E"/>
    <w:rsid w:val="001D43E8"/>
    <w:rsid w:val="001F24DC"/>
    <w:rsid w:val="00254086"/>
    <w:rsid w:val="00267B2A"/>
    <w:rsid w:val="00291612"/>
    <w:rsid w:val="002C2A80"/>
    <w:rsid w:val="002C3565"/>
    <w:rsid w:val="002C37E8"/>
    <w:rsid w:val="002D57D0"/>
    <w:rsid w:val="00315786"/>
    <w:rsid w:val="00326A77"/>
    <w:rsid w:val="00337943"/>
    <w:rsid w:val="003426F5"/>
    <w:rsid w:val="00372452"/>
    <w:rsid w:val="003C56CD"/>
    <w:rsid w:val="003D0859"/>
    <w:rsid w:val="003D3965"/>
    <w:rsid w:val="003D4777"/>
    <w:rsid w:val="003E690B"/>
    <w:rsid w:val="00444064"/>
    <w:rsid w:val="004C3B9B"/>
    <w:rsid w:val="004D38DC"/>
    <w:rsid w:val="004E529D"/>
    <w:rsid w:val="0050536A"/>
    <w:rsid w:val="005172BC"/>
    <w:rsid w:val="005564ED"/>
    <w:rsid w:val="00583E19"/>
    <w:rsid w:val="00592C16"/>
    <w:rsid w:val="0059380A"/>
    <w:rsid w:val="005F416A"/>
    <w:rsid w:val="00611D09"/>
    <w:rsid w:val="00633AE3"/>
    <w:rsid w:val="00634B5E"/>
    <w:rsid w:val="0065635B"/>
    <w:rsid w:val="00697601"/>
    <w:rsid w:val="006C0F3F"/>
    <w:rsid w:val="00700414"/>
    <w:rsid w:val="00734A5F"/>
    <w:rsid w:val="00754096"/>
    <w:rsid w:val="00767E54"/>
    <w:rsid w:val="00796CED"/>
    <w:rsid w:val="00813658"/>
    <w:rsid w:val="00831C92"/>
    <w:rsid w:val="00846D7A"/>
    <w:rsid w:val="0085791E"/>
    <w:rsid w:val="008653C4"/>
    <w:rsid w:val="00885F72"/>
    <w:rsid w:val="0088786A"/>
    <w:rsid w:val="00891A36"/>
    <w:rsid w:val="008F5102"/>
    <w:rsid w:val="00900304"/>
    <w:rsid w:val="00921C14"/>
    <w:rsid w:val="009557A1"/>
    <w:rsid w:val="009646E0"/>
    <w:rsid w:val="0099141E"/>
    <w:rsid w:val="00997D7A"/>
    <w:rsid w:val="009D0536"/>
    <w:rsid w:val="009E6202"/>
    <w:rsid w:val="00A10A1F"/>
    <w:rsid w:val="00A24D46"/>
    <w:rsid w:val="00A616AD"/>
    <w:rsid w:val="00A76413"/>
    <w:rsid w:val="00AD2CD8"/>
    <w:rsid w:val="00AE4309"/>
    <w:rsid w:val="00AF1050"/>
    <w:rsid w:val="00B10C54"/>
    <w:rsid w:val="00B26F12"/>
    <w:rsid w:val="00B97DE9"/>
    <w:rsid w:val="00BB486B"/>
    <w:rsid w:val="00BC7FF4"/>
    <w:rsid w:val="00BD1220"/>
    <w:rsid w:val="00C17D39"/>
    <w:rsid w:val="00C468C1"/>
    <w:rsid w:val="00C4734B"/>
    <w:rsid w:val="00C81ED6"/>
    <w:rsid w:val="00CC5CBC"/>
    <w:rsid w:val="00CE17BE"/>
    <w:rsid w:val="00D027F5"/>
    <w:rsid w:val="00D30AD1"/>
    <w:rsid w:val="00D63E34"/>
    <w:rsid w:val="00D9625C"/>
    <w:rsid w:val="00DA534C"/>
    <w:rsid w:val="00DD187D"/>
    <w:rsid w:val="00E531DD"/>
    <w:rsid w:val="00E83233"/>
    <w:rsid w:val="00E87326"/>
    <w:rsid w:val="00E97C17"/>
    <w:rsid w:val="00EA31A6"/>
    <w:rsid w:val="00EC6D79"/>
    <w:rsid w:val="00F005C0"/>
    <w:rsid w:val="00F13711"/>
    <w:rsid w:val="00F22B93"/>
    <w:rsid w:val="00F35575"/>
    <w:rsid w:val="00F4656F"/>
    <w:rsid w:val="00F5151B"/>
    <w:rsid w:val="00F60291"/>
    <w:rsid w:val="00F7735A"/>
    <w:rsid w:val="00F83BA4"/>
    <w:rsid w:val="00F96995"/>
    <w:rsid w:val="00FD34E2"/>
    <w:rsid w:val="00FD50DD"/>
    <w:rsid w:val="00FD5F60"/>
    <w:rsid w:val="00FF4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60D9"/>
  <w15:docId w15:val="{D7BE95EE-AA2C-440A-B750-4B3CBE31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7"/>
    </w:pPr>
    <w:rPr>
      <w:rFonts w:ascii="Arial Nova" w:eastAsia="Arial Nova" w:hAnsi="Arial Nova"/>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5151B"/>
    <w:pPr>
      <w:widowControl/>
      <w:autoSpaceDE w:val="0"/>
      <w:autoSpaceDN w:val="0"/>
      <w:adjustRightInd w:val="0"/>
    </w:pPr>
    <w:rPr>
      <w:rFonts w:ascii="Open Sans" w:hAnsi="Open Sans" w:cs="Open Sans"/>
      <w:color w:val="000000"/>
      <w:sz w:val="24"/>
      <w:szCs w:val="24"/>
      <w:lang w:val="es-ES"/>
    </w:rPr>
  </w:style>
  <w:style w:type="paragraph" w:customStyle="1" w:styleId="Pa11">
    <w:name w:val="Pa11"/>
    <w:basedOn w:val="Normal"/>
    <w:next w:val="Normal"/>
    <w:uiPriority w:val="99"/>
    <w:rsid w:val="000F336E"/>
    <w:pPr>
      <w:widowControl/>
      <w:autoSpaceDE w:val="0"/>
      <w:autoSpaceDN w:val="0"/>
      <w:adjustRightInd w:val="0"/>
      <w:spacing w:line="201" w:lineRule="atLeast"/>
    </w:pPr>
    <w:rPr>
      <w:rFonts w:ascii="Arial" w:hAnsi="Arial" w:cs="Arial"/>
      <w:sz w:val="24"/>
      <w:szCs w:val="24"/>
    </w:rPr>
  </w:style>
  <w:style w:type="paragraph" w:customStyle="1" w:styleId="Pa19">
    <w:name w:val="Pa19"/>
    <w:basedOn w:val="Normal"/>
    <w:next w:val="Normal"/>
    <w:uiPriority w:val="99"/>
    <w:rsid w:val="000F336E"/>
    <w:pPr>
      <w:widowControl/>
      <w:autoSpaceDE w:val="0"/>
      <w:autoSpaceDN w:val="0"/>
      <w:adjustRightInd w:val="0"/>
      <w:spacing w:line="201" w:lineRule="atLeast"/>
    </w:pPr>
    <w:rPr>
      <w:rFonts w:ascii="Arial" w:hAnsi="Arial" w:cs="Arial"/>
      <w:sz w:val="24"/>
      <w:szCs w:val="24"/>
    </w:rPr>
  </w:style>
  <w:style w:type="paragraph" w:styleId="Encabezado">
    <w:name w:val="header"/>
    <w:basedOn w:val="Normal"/>
    <w:link w:val="EncabezadoCar"/>
    <w:uiPriority w:val="99"/>
    <w:unhideWhenUsed/>
    <w:rsid w:val="00326A77"/>
    <w:pPr>
      <w:tabs>
        <w:tab w:val="center" w:pos="4252"/>
        <w:tab w:val="right" w:pos="8504"/>
      </w:tabs>
    </w:pPr>
  </w:style>
  <w:style w:type="character" w:customStyle="1" w:styleId="EncabezadoCar">
    <w:name w:val="Encabezado Car"/>
    <w:basedOn w:val="Fuentedeprrafopredeter"/>
    <w:link w:val="Encabezado"/>
    <w:uiPriority w:val="99"/>
    <w:rsid w:val="00326A77"/>
    <w:rPr>
      <w:lang w:val="es-ES"/>
    </w:rPr>
  </w:style>
  <w:style w:type="paragraph" w:styleId="Piedepgina">
    <w:name w:val="footer"/>
    <w:basedOn w:val="Normal"/>
    <w:link w:val="PiedepginaCar"/>
    <w:uiPriority w:val="99"/>
    <w:unhideWhenUsed/>
    <w:rsid w:val="00326A77"/>
    <w:pPr>
      <w:tabs>
        <w:tab w:val="center" w:pos="4252"/>
        <w:tab w:val="right" w:pos="8504"/>
      </w:tabs>
    </w:pPr>
  </w:style>
  <w:style w:type="character" w:customStyle="1" w:styleId="PiedepginaCar">
    <w:name w:val="Pie de página Car"/>
    <w:basedOn w:val="Fuentedeprrafopredeter"/>
    <w:link w:val="Piedepgina"/>
    <w:uiPriority w:val="99"/>
    <w:rsid w:val="00326A77"/>
    <w:rPr>
      <w:lang w:val="es-ES"/>
    </w:rPr>
  </w:style>
  <w:style w:type="character" w:styleId="Hipervnculo">
    <w:name w:val="Hyperlink"/>
    <w:basedOn w:val="Fuentedeprrafopredeter"/>
    <w:uiPriority w:val="99"/>
    <w:unhideWhenUsed/>
    <w:rsid w:val="003D0859"/>
    <w:rPr>
      <w:color w:val="0000FF" w:themeColor="hyperlink"/>
      <w:u w:val="single"/>
    </w:rPr>
  </w:style>
  <w:style w:type="paragraph" w:styleId="Textodeglobo">
    <w:name w:val="Balloon Text"/>
    <w:basedOn w:val="Normal"/>
    <w:link w:val="TextodegloboCar"/>
    <w:uiPriority w:val="99"/>
    <w:semiHidden/>
    <w:unhideWhenUsed/>
    <w:rsid w:val="00315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786"/>
    <w:rPr>
      <w:rFonts w:ascii="Segoe UI" w:hAnsi="Segoe UI" w:cs="Segoe UI"/>
      <w:sz w:val="18"/>
      <w:szCs w:val="18"/>
      <w:lang w:val="es-ES"/>
    </w:rPr>
  </w:style>
  <w:style w:type="paragraph" w:customStyle="1" w:styleId="Pa14">
    <w:name w:val="Pa14"/>
    <w:basedOn w:val="Default"/>
    <w:next w:val="Default"/>
    <w:uiPriority w:val="99"/>
    <w:rsid w:val="00E97C17"/>
    <w:pPr>
      <w:spacing w:line="201" w:lineRule="atLeast"/>
    </w:pPr>
    <w:rPr>
      <w:rFonts w:ascii="Arial" w:hAnsi="Arial" w:cs="Arial"/>
      <w:color w:val="auto"/>
    </w:rPr>
  </w:style>
  <w:style w:type="paragraph" w:customStyle="1" w:styleId="ListNumber1">
    <w:name w:val="List Number 1"/>
    <w:basedOn w:val="Normal"/>
    <w:qFormat/>
    <w:rsid w:val="003D4777"/>
    <w:pPr>
      <w:widowControl/>
      <w:spacing w:after="240"/>
      <w:jc w:val="both"/>
    </w:pPr>
    <w:rPr>
      <w:rFonts w:ascii="Arial" w:eastAsia="Times New Roman" w:hAnsi="Arial" w:cs="Times New Roman"/>
      <w:szCs w:val="24"/>
      <w:lang w:val="es-ES_tradnl"/>
    </w:rPr>
  </w:style>
  <w:style w:type="paragraph" w:customStyle="1" w:styleId="Pa13">
    <w:name w:val="Pa13"/>
    <w:basedOn w:val="Default"/>
    <w:next w:val="Default"/>
    <w:uiPriority w:val="99"/>
    <w:rsid w:val="00291612"/>
    <w:pPr>
      <w:spacing w:line="201" w:lineRule="atLeast"/>
    </w:pPr>
    <w:rPr>
      <w:rFonts w:ascii="Arial" w:hAnsi="Arial" w:cs="Arial"/>
      <w:color w:val="auto"/>
    </w:rPr>
  </w:style>
  <w:style w:type="paragraph" w:customStyle="1" w:styleId="Pa6">
    <w:name w:val="Pa6"/>
    <w:basedOn w:val="Default"/>
    <w:next w:val="Default"/>
    <w:uiPriority w:val="99"/>
    <w:rsid w:val="00291612"/>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villarino</dc:creator>
  <cp:lastModifiedBy>Luis Cayo Pérez Bueno</cp:lastModifiedBy>
  <cp:revision>3</cp:revision>
  <cp:lastPrinted>2022-05-10T13:01:00Z</cp:lastPrinted>
  <dcterms:created xsi:type="dcterms:W3CDTF">2022-10-05T06:00:00Z</dcterms:created>
  <dcterms:modified xsi:type="dcterms:W3CDTF">2022-10-05T06:00:00Z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LastSaved">
    <vt:filetime>2022-05-10T00:00:00Z</vt:filetime>
  </property>
</Properties>
</file>