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2B59" w14:textId="77777777" w:rsidR="00330300" w:rsidRDefault="00330300" w:rsidP="0026573C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49562D9D" w14:textId="180DD3D4" w:rsidR="00330300" w:rsidRDefault="00330300" w:rsidP="0026573C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330300">
        <w:rPr>
          <w:b/>
          <w:bCs/>
          <w:noProof/>
          <w:sz w:val="24"/>
          <w:szCs w:val="24"/>
          <w:lang w:eastAsia="es-ES"/>
        </w:rPr>
        <w:drawing>
          <wp:inline distT="0" distB="0" distL="0" distR="0" wp14:anchorId="1682B2B6" wp14:editId="65D48B37">
            <wp:extent cx="1681163" cy="1088661"/>
            <wp:effectExtent l="0" t="0" r="0" b="0"/>
            <wp:docPr id="1" name="Imagen 1" descr="Logotipo del CERMI por su vigésimo quinto aniversario " title="Logotipo del CERM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artin\Desktop\LOGOS\logo 25 aniversario CERM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14" cy="109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08888" w14:textId="77777777" w:rsidR="00330300" w:rsidRDefault="00330300" w:rsidP="0026573C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14:paraId="5CEDB1FD" w14:textId="4004FBB4" w:rsidR="0026573C" w:rsidRDefault="00330300" w:rsidP="0026573C">
      <w:pPr>
        <w:pBdr>
          <w:bottom w:val="single" w:sz="4" w:space="1" w:color="auto"/>
        </w:pBdr>
        <w:jc w:val="center"/>
        <w:rPr>
          <w:rFonts w:ascii="Rockwell" w:hAnsi="Rockwell"/>
          <w:b/>
          <w:bCs/>
          <w:sz w:val="28"/>
          <w:szCs w:val="28"/>
        </w:rPr>
      </w:pPr>
      <w:r w:rsidRPr="00330300">
        <w:rPr>
          <w:rFonts w:ascii="Rockwell" w:hAnsi="Rockwell"/>
          <w:b/>
          <w:bCs/>
          <w:sz w:val="28"/>
          <w:szCs w:val="28"/>
        </w:rPr>
        <w:t xml:space="preserve">Breve informe </w:t>
      </w:r>
      <w:r w:rsidR="00294FF0">
        <w:rPr>
          <w:rFonts w:ascii="Rockwell" w:hAnsi="Rockwell"/>
          <w:b/>
          <w:bCs/>
          <w:sz w:val="28"/>
          <w:szCs w:val="28"/>
        </w:rPr>
        <w:t xml:space="preserve">del CERMI </w:t>
      </w:r>
      <w:r w:rsidRPr="00330300">
        <w:rPr>
          <w:rFonts w:ascii="Rockwell" w:hAnsi="Rockwell"/>
          <w:b/>
          <w:bCs/>
          <w:sz w:val="28"/>
          <w:szCs w:val="28"/>
        </w:rPr>
        <w:t xml:space="preserve">sobre </w:t>
      </w:r>
      <w:r w:rsidR="007E108A">
        <w:rPr>
          <w:rFonts w:ascii="Rockwell" w:hAnsi="Rockwell"/>
          <w:b/>
          <w:bCs/>
          <w:sz w:val="28"/>
          <w:szCs w:val="28"/>
        </w:rPr>
        <w:t xml:space="preserve">los </w:t>
      </w:r>
      <w:r w:rsidRPr="00330300">
        <w:rPr>
          <w:rFonts w:ascii="Rockwell" w:hAnsi="Rockwell"/>
          <w:b/>
          <w:bCs/>
          <w:sz w:val="28"/>
          <w:szCs w:val="28"/>
        </w:rPr>
        <w:t xml:space="preserve">contenidos relativos a </w:t>
      </w:r>
      <w:r w:rsidR="0077749F" w:rsidRPr="00330300">
        <w:rPr>
          <w:rFonts w:ascii="Rockwell" w:hAnsi="Rockwell"/>
          <w:b/>
          <w:bCs/>
          <w:sz w:val="28"/>
          <w:szCs w:val="28"/>
        </w:rPr>
        <w:t xml:space="preserve">las personas con discapacidad </w:t>
      </w:r>
      <w:r w:rsidR="0026573C" w:rsidRPr="00330300">
        <w:rPr>
          <w:rFonts w:ascii="Rockwell" w:hAnsi="Rockwell"/>
          <w:b/>
          <w:bCs/>
          <w:sz w:val="28"/>
          <w:szCs w:val="28"/>
        </w:rPr>
        <w:t>en el Reporte</w:t>
      </w:r>
      <w:r w:rsidR="007D0068" w:rsidRPr="00330300">
        <w:rPr>
          <w:rFonts w:ascii="Rockwell" w:hAnsi="Rockwell"/>
          <w:b/>
          <w:bCs/>
          <w:sz w:val="28"/>
          <w:szCs w:val="28"/>
        </w:rPr>
        <w:t xml:space="preserve"> Anual</w:t>
      </w:r>
      <w:r w:rsidR="0026573C" w:rsidRPr="00330300">
        <w:rPr>
          <w:rFonts w:ascii="Rockwell" w:hAnsi="Rockwell"/>
          <w:b/>
          <w:bCs/>
          <w:sz w:val="28"/>
          <w:szCs w:val="28"/>
        </w:rPr>
        <w:t xml:space="preserve"> de los Derechos Fundamentales</w:t>
      </w:r>
      <w:r w:rsidR="00B3713A" w:rsidRPr="00330300">
        <w:rPr>
          <w:rFonts w:ascii="Rockwell" w:hAnsi="Rockwell"/>
          <w:b/>
          <w:bCs/>
          <w:sz w:val="28"/>
          <w:szCs w:val="28"/>
        </w:rPr>
        <w:t xml:space="preserve"> 2022</w:t>
      </w:r>
      <w:r w:rsidR="002F08C1">
        <w:rPr>
          <w:rFonts w:ascii="Rockwell" w:hAnsi="Rockwell"/>
          <w:b/>
          <w:bCs/>
          <w:sz w:val="28"/>
          <w:szCs w:val="28"/>
        </w:rPr>
        <w:t xml:space="preserve"> de la Agencia </w:t>
      </w:r>
      <w:r w:rsidR="007D0068" w:rsidRPr="00330300">
        <w:rPr>
          <w:rFonts w:ascii="Rockwell" w:hAnsi="Rockwell"/>
          <w:b/>
          <w:bCs/>
          <w:sz w:val="28"/>
          <w:szCs w:val="28"/>
        </w:rPr>
        <w:t>de</w:t>
      </w:r>
      <w:r w:rsidR="002F08C1">
        <w:rPr>
          <w:rFonts w:ascii="Rockwell" w:hAnsi="Rockwell"/>
          <w:b/>
          <w:bCs/>
          <w:sz w:val="28"/>
          <w:szCs w:val="28"/>
        </w:rPr>
        <w:t xml:space="preserve"> los</w:t>
      </w:r>
      <w:r w:rsidR="007D0068" w:rsidRPr="00330300">
        <w:rPr>
          <w:rFonts w:ascii="Rockwell" w:hAnsi="Rockwell"/>
          <w:b/>
          <w:bCs/>
          <w:sz w:val="28"/>
          <w:szCs w:val="28"/>
        </w:rPr>
        <w:t xml:space="preserve"> Derechos Fundamentales</w:t>
      </w:r>
      <w:r w:rsidR="002F08C1">
        <w:rPr>
          <w:rFonts w:ascii="Rockwell" w:hAnsi="Rockwell"/>
          <w:b/>
          <w:bCs/>
          <w:sz w:val="28"/>
          <w:szCs w:val="28"/>
        </w:rPr>
        <w:t xml:space="preserve"> de la Unión Europea (FRA)</w:t>
      </w:r>
    </w:p>
    <w:p w14:paraId="73BEEF9C" w14:textId="77777777" w:rsidR="005C1DD0" w:rsidRPr="00330300" w:rsidRDefault="005C1DD0" w:rsidP="0026573C">
      <w:pPr>
        <w:pBdr>
          <w:bottom w:val="single" w:sz="4" w:space="1" w:color="auto"/>
        </w:pBdr>
        <w:jc w:val="center"/>
        <w:rPr>
          <w:rFonts w:ascii="Rockwell" w:hAnsi="Rockwell"/>
          <w:b/>
          <w:bCs/>
          <w:sz w:val="28"/>
          <w:szCs w:val="28"/>
        </w:rPr>
      </w:pPr>
    </w:p>
    <w:p w14:paraId="15DB5CD8" w14:textId="77777777" w:rsidR="007E108A" w:rsidRDefault="007E108A" w:rsidP="007E108A">
      <w:pPr>
        <w:pStyle w:val="Prrafodelista"/>
        <w:ind w:left="1080"/>
        <w:rPr>
          <w:rFonts w:ascii="Rockwell" w:hAnsi="Rockwell"/>
          <w:b/>
          <w:bCs/>
          <w:sz w:val="24"/>
          <w:szCs w:val="24"/>
        </w:rPr>
      </w:pPr>
    </w:p>
    <w:p w14:paraId="4150513D" w14:textId="1A38F352" w:rsidR="004B114C" w:rsidRPr="00330300" w:rsidRDefault="00F64C8F" w:rsidP="001D3D27">
      <w:pPr>
        <w:pStyle w:val="Prrafodelista"/>
        <w:numPr>
          <w:ilvl w:val="0"/>
          <w:numId w:val="1"/>
        </w:numPr>
        <w:jc w:val="center"/>
        <w:rPr>
          <w:rFonts w:ascii="Rockwell" w:hAnsi="Rockwell"/>
          <w:b/>
          <w:bCs/>
          <w:sz w:val="24"/>
          <w:szCs w:val="24"/>
        </w:rPr>
      </w:pPr>
      <w:r w:rsidRPr="00330300">
        <w:rPr>
          <w:rFonts w:ascii="Rockwell" w:hAnsi="Rockwell"/>
          <w:b/>
          <w:bCs/>
          <w:sz w:val="24"/>
          <w:szCs w:val="24"/>
        </w:rPr>
        <w:t xml:space="preserve">Los derechos sociales y la igualdad </w:t>
      </w:r>
      <w:r w:rsidR="0098774B" w:rsidRPr="00330300">
        <w:rPr>
          <w:rFonts w:ascii="Rockwell" w:hAnsi="Rockwell"/>
          <w:b/>
          <w:bCs/>
          <w:sz w:val="24"/>
          <w:szCs w:val="24"/>
        </w:rPr>
        <w:t xml:space="preserve">a la luz de la </w:t>
      </w:r>
      <w:r w:rsidR="00C63EB4" w:rsidRPr="00330300">
        <w:rPr>
          <w:rFonts w:ascii="Rockwell" w:hAnsi="Rockwell"/>
          <w:b/>
          <w:bCs/>
          <w:sz w:val="24"/>
          <w:szCs w:val="24"/>
        </w:rPr>
        <w:t>r</w:t>
      </w:r>
      <w:r w:rsidR="0098774B" w:rsidRPr="00330300">
        <w:rPr>
          <w:rFonts w:ascii="Rockwell" w:hAnsi="Rockwell"/>
          <w:b/>
          <w:bCs/>
          <w:sz w:val="24"/>
          <w:szCs w:val="24"/>
        </w:rPr>
        <w:t>ecuperación de la pandemia del COVID-19</w:t>
      </w:r>
    </w:p>
    <w:p w14:paraId="31B5977E" w14:textId="0AD95E70" w:rsidR="002F29EC" w:rsidRPr="00330300" w:rsidRDefault="00C16A0A" w:rsidP="003B0149">
      <w:pPr>
        <w:jc w:val="both"/>
        <w:rPr>
          <w:sz w:val="24"/>
          <w:szCs w:val="24"/>
        </w:rPr>
      </w:pPr>
      <w:r w:rsidRPr="00330300">
        <w:rPr>
          <w:sz w:val="24"/>
          <w:szCs w:val="24"/>
        </w:rPr>
        <w:t>En el primer capítulo d</w:t>
      </w:r>
      <w:r w:rsidR="00900733" w:rsidRPr="00330300">
        <w:rPr>
          <w:sz w:val="24"/>
          <w:szCs w:val="24"/>
        </w:rPr>
        <w:t xml:space="preserve">el </w:t>
      </w:r>
      <w:r w:rsidR="00900733" w:rsidRPr="00330300">
        <w:rPr>
          <w:bCs/>
          <w:sz w:val="24"/>
          <w:szCs w:val="24"/>
        </w:rPr>
        <w:t>Reporte de Derechos Fundamentales</w:t>
      </w:r>
      <w:r w:rsidR="007C432C" w:rsidRPr="00330300">
        <w:rPr>
          <w:bCs/>
          <w:sz w:val="24"/>
          <w:szCs w:val="24"/>
        </w:rPr>
        <w:t xml:space="preserve"> de </w:t>
      </w:r>
      <w:r w:rsidR="006D764D" w:rsidRPr="00330300">
        <w:rPr>
          <w:bCs/>
          <w:sz w:val="24"/>
          <w:szCs w:val="24"/>
        </w:rPr>
        <w:t>2022</w:t>
      </w:r>
      <w:r w:rsidR="006D764D" w:rsidRPr="00330300">
        <w:rPr>
          <w:sz w:val="24"/>
          <w:szCs w:val="24"/>
        </w:rPr>
        <w:t>, elaborado</w:t>
      </w:r>
      <w:r w:rsidR="007C432C" w:rsidRPr="00330300">
        <w:rPr>
          <w:sz w:val="24"/>
          <w:szCs w:val="24"/>
        </w:rPr>
        <w:t xml:space="preserve"> cada año po</w:t>
      </w:r>
      <w:r w:rsidR="000D19C0" w:rsidRPr="00330300">
        <w:rPr>
          <w:sz w:val="24"/>
          <w:szCs w:val="24"/>
        </w:rPr>
        <w:t>r</w:t>
      </w:r>
      <w:r w:rsidR="007C432C" w:rsidRPr="00330300">
        <w:rPr>
          <w:sz w:val="24"/>
          <w:szCs w:val="24"/>
        </w:rPr>
        <w:t xml:space="preserve"> la </w:t>
      </w:r>
      <w:r w:rsidR="007C432C" w:rsidRPr="00330300">
        <w:rPr>
          <w:bCs/>
          <w:sz w:val="24"/>
          <w:szCs w:val="24"/>
        </w:rPr>
        <w:t xml:space="preserve">Agencia de la Unión Europea </w:t>
      </w:r>
      <w:r w:rsidR="000D19C0" w:rsidRPr="00330300">
        <w:rPr>
          <w:bCs/>
          <w:sz w:val="24"/>
          <w:szCs w:val="24"/>
        </w:rPr>
        <w:t>por los Derechos Fundamentales</w:t>
      </w:r>
      <w:r w:rsidR="006E4419" w:rsidRPr="00330300">
        <w:rPr>
          <w:sz w:val="24"/>
          <w:szCs w:val="24"/>
        </w:rPr>
        <w:t xml:space="preserve">, examina </w:t>
      </w:r>
      <w:r w:rsidR="00D92068" w:rsidRPr="00330300">
        <w:rPr>
          <w:sz w:val="24"/>
          <w:szCs w:val="24"/>
        </w:rPr>
        <w:t xml:space="preserve">los planes de recuperación </w:t>
      </w:r>
      <w:r w:rsidR="00153D81" w:rsidRPr="00330300">
        <w:rPr>
          <w:sz w:val="24"/>
          <w:szCs w:val="24"/>
        </w:rPr>
        <w:t xml:space="preserve">llevados a cabo por </w:t>
      </w:r>
      <w:r w:rsidR="00330300" w:rsidRPr="00330300">
        <w:rPr>
          <w:sz w:val="24"/>
          <w:szCs w:val="24"/>
        </w:rPr>
        <w:t>cada Estado</w:t>
      </w:r>
      <w:r w:rsidR="00AD6969" w:rsidRPr="00330300">
        <w:rPr>
          <w:sz w:val="24"/>
          <w:szCs w:val="24"/>
        </w:rPr>
        <w:t xml:space="preserve"> miembro para solventar </w:t>
      </w:r>
      <w:r w:rsidR="008307C8" w:rsidRPr="00330300">
        <w:rPr>
          <w:sz w:val="24"/>
          <w:szCs w:val="24"/>
        </w:rPr>
        <w:t>las vulnerabilidades sociales</w:t>
      </w:r>
      <w:r w:rsidR="00EA6D2F" w:rsidRPr="00330300">
        <w:rPr>
          <w:sz w:val="24"/>
          <w:szCs w:val="24"/>
        </w:rPr>
        <w:t xml:space="preserve"> que se han incrementado </w:t>
      </w:r>
      <w:r w:rsidR="002B5DE4" w:rsidRPr="00330300">
        <w:rPr>
          <w:sz w:val="24"/>
          <w:szCs w:val="24"/>
        </w:rPr>
        <w:t>debido a</w:t>
      </w:r>
      <w:r w:rsidR="00EA6D2F" w:rsidRPr="00330300">
        <w:rPr>
          <w:sz w:val="24"/>
          <w:szCs w:val="24"/>
        </w:rPr>
        <w:t xml:space="preserve"> la pandemia del COVID-19</w:t>
      </w:r>
      <w:r w:rsidR="00CE5D2C" w:rsidRPr="00330300">
        <w:rPr>
          <w:sz w:val="24"/>
          <w:szCs w:val="24"/>
        </w:rPr>
        <w:t xml:space="preserve"> en cada país.</w:t>
      </w:r>
      <w:r w:rsidR="008307C8" w:rsidRPr="00330300">
        <w:rPr>
          <w:sz w:val="24"/>
          <w:szCs w:val="24"/>
        </w:rPr>
        <w:t xml:space="preserve"> </w:t>
      </w:r>
      <w:r w:rsidR="00DD62E6" w:rsidRPr="00330300">
        <w:rPr>
          <w:sz w:val="24"/>
          <w:szCs w:val="24"/>
        </w:rPr>
        <w:t xml:space="preserve">En el informe destacan </w:t>
      </w:r>
      <w:r w:rsidR="00E552B9" w:rsidRPr="00330300">
        <w:rPr>
          <w:sz w:val="24"/>
          <w:szCs w:val="24"/>
        </w:rPr>
        <w:t xml:space="preserve">la forma negativa en la que ha afectado el COVID-19 </w:t>
      </w:r>
      <w:r w:rsidR="000521B7" w:rsidRPr="00330300">
        <w:rPr>
          <w:sz w:val="24"/>
          <w:szCs w:val="24"/>
        </w:rPr>
        <w:t xml:space="preserve">en el disfrute de los derechos sociales, afectado de diferente forma según sexo, edad, discapacidad o Nación. </w:t>
      </w:r>
    </w:p>
    <w:p w14:paraId="226FD7DA" w14:textId="77777777" w:rsidR="00330300" w:rsidRDefault="000521B7" w:rsidP="003B0149">
      <w:pPr>
        <w:jc w:val="both"/>
        <w:rPr>
          <w:sz w:val="24"/>
          <w:szCs w:val="24"/>
        </w:rPr>
      </w:pPr>
      <w:r w:rsidRPr="00330300">
        <w:rPr>
          <w:sz w:val="24"/>
          <w:szCs w:val="24"/>
        </w:rPr>
        <w:t>Concretamente</w:t>
      </w:r>
      <w:r w:rsidR="00596B9A" w:rsidRPr="00330300">
        <w:rPr>
          <w:sz w:val="24"/>
          <w:szCs w:val="24"/>
        </w:rPr>
        <w:t xml:space="preserve">, en relación con las </w:t>
      </w:r>
      <w:r w:rsidR="00596B9A" w:rsidRPr="00330300">
        <w:rPr>
          <w:sz w:val="24"/>
          <w:szCs w:val="24"/>
          <w:u w:val="single"/>
        </w:rPr>
        <w:t>personas con discapacidad</w:t>
      </w:r>
      <w:r w:rsidR="00FF5D5D" w:rsidRPr="00330300">
        <w:rPr>
          <w:sz w:val="24"/>
          <w:szCs w:val="24"/>
          <w:u w:val="single"/>
        </w:rPr>
        <w:t>:</w:t>
      </w:r>
      <w:r w:rsidR="00FF5D5D" w:rsidRPr="00330300">
        <w:rPr>
          <w:sz w:val="24"/>
          <w:szCs w:val="24"/>
        </w:rPr>
        <w:t xml:space="preserve"> "</w:t>
      </w:r>
      <w:r w:rsidR="00064A2E" w:rsidRPr="00330300">
        <w:rPr>
          <w:sz w:val="24"/>
          <w:szCs w:val="24"/>
        </w:rPr>
        <w:t>El</w:t>
      </w:r>
      <w:r w:rsidR="003875B4" w:rsidRPr="00330300">
        <w:rPr>
          <w:sz w:val="24"/>
          <w:szCs w:val="24"/>
        </w:rPr>
        <w:t xml:space="preserve"> European </w:t>
      </w:r>
      <w:r w:rsidR="004A2E25" w:rsidRPr="00330300">
        <w:rPr>
          <w:sz w:val="24"/>
          <w:szCs w:val="24"/>
        </w:rPr>
        <w:t xml:space="preserve">Disability </w:t>
      </w:r>
      <w:r w:rsidR="003875B4" w:rsidRPr="00330300">
        <w:rPr>
          <w:sz w:val="24"/>
          <w:szCs w:val="24"/>
        </w:rPr>
        <w:t>Forum</w:t>
      </w:r>
      <w:r w:rsidR="00064A2E" w:rsidRPr="00330300">
        <w:rPr>
          <w:sz w:val="24"/>
          <w:szCs w:val="24"/>
        </w:rPr>
        <w:t xml:space="preserve"> destaca que las </w:t>
      </w:r>
      <w:r w:rsidR="00064A2E" w:rsidRPr="00330300">
        <w:rPr>
          <w:bCs/>
          <w:sz w:val="24"/>
          <w:szCs w:val="24"/>
          <w:u w:val="single"/>
        </w:rPr>
        <w:t>personas con discapacidad</w:t>
      </w:r>
      <w:r w:rsidR="00064A2E" w:rsidRPr="00330300">
        <w:rPr>
          <w:bCs/>
          <w:sz w:val="24"/>
          <w:szCs w:val="24"/>
        </w:rPr>
        <w:t xml:space="preserve"> han tenido más probabilidades de infectarse</w:t>
      </w:r>
      <w:r w:rsidR="00064A2E" w:rsidRPr="00330300">
        <w:rPr>
          <w:sz w:val="24"/>
          <w:szCs w:val="24"/>
        </w:rPr>
        <w:t xml:space="preserve"> con Covid-19, desarrolla</w:t>
      </w:r>
      <w:r w:rsidR="00A74788" w:rsidRPr="00330300">
        <w:rPr>
          <w:sz w:val="24"/>
          <w:szCs w:val="24"/>
        </w:rPr>
        <w:t>r</w:t>
      </w:r>
      <w:r w:rsidR="00064A2E" w:rsidRPr="00330300">
        <w:rPr>
          <w:sz w:val="24"/>
          <w:szCs w:val="24"/>
        </w:rPr>
        <w:t xml:space="preserve"> enfermedades graves o morir, o </w:t>
      </w:r>
      <w:r w:rsidR="00064A2E" w:rsidRPr="00330300">
        <w:rPr>
          <w:bCs/>
          <w:sz w:val="24"/>
          <w:szCs w:val="24"/>
        </w:rPr>
        <w:t>enc</w:t>
      </w:r>
      <w:r w:rsidR="00B13102" w:rsidRPr="00330300">
        <w:rPr>
          <w:bCs/>
          <w:sz w:val="24"/>
          <w:szCs w:val="24"/>
        </w:rPr>
        <w:t>ontrarse aisladas, empobrecidas y enfrentarse a mayores dificultades en el futuro</w:t>
      </w:r>
      <w:r w:rsidR="003B0149" w:rsidRPr="00330300">
        <w:rPr>
          <w:sz w:val="24"/>
          <w:szCs w:val="24"/>
        </w:rPr>
        <w:t>. El distanciamiento social y el cierre de escuelas acent</w:t>
      </w:r>
      <w:r w:rsidR="006D764D" w:rsidRPr="00330300">
        <w:rPr>
          <w:sz w:val="24"/>
          <w:szCs w:val="24"/>
        </w:rPr>
        <w:t>u</w:t>
      </w:r>
      <w:r w:rsidR="003B0149" w:rsidRPr="00330300">
        <w:rPr>
          <w:sz w:val="24"/>
          <w:szCs w:val="24"/>
        </w:rPr>
        <w:t xml:space="preserve">aron las dificultades de aprendizaje e impidieron a muchas </w:t>
      </w:r>
      <w:r w:rsidR="003B0149" w:rsidRPr="00330300">
        <w:rPr>
          <w:sz w:val="24"/>
          <w:szCs w:val="24"/>
          <w:u w:val="single"/>
        </w:rPr>
        <w:t>personas con discapacidad</w:t>
      </w:r>
      <w:r w:rsidR="003B0149" w:rsidRPr="00330300">
        <w:rPr>
          <w:sz w:val="24"/>
          <w:szCs w:val="24"/>
        </w:rPr>
        <w:t xml:space="preserve"> participar activamente en el mercado laboral</w:t>
      </w:r>
      <w:r w:rsidR="00FF5D5D" w:rsidRPr="00330300">
        <w:rPr>
          <w:sz w:val="24"/>
          <w:szCs w:val="24"/>
        </w:rPr>
        <w:t>.”</w:t>
      </w:r>
      <w:r w:rsidR="009652BB" w:rsidRPr="00330300">
        <w:rPr>
          <w:sz w:val="24"/>
          <w:szCs w:val="24"/>
        </w:rPr>
        <w:t xml:space="preserve"> (</w:t>
      </w:r>
      <w:r w:rsidR="00CB3993" w:rsidRPr="00330300">
        <w:rPr>
          <w:sz w:val="24"/>
          <w:szCs w:val="24"/>
        </w:rPr>
        <w:t>p.10)</w:t>
      </w:r>
      <w:r w:rsidR="00C81A44" w:rsidRPr="00330300">
        <w:rPr>
          <w:sz w:val="24"/>
          <w:szCs w:val="24"/>
        </w:rPr>
        <w:t xml:space="preserve">. </w:t>
      </w:r>
      <w:r w:rsidR="00FF5D5D" w:rsidRPr="00330300">
        <w:rPr>
          <w:sz w:val="24"/>
          <w:szCs w:val="24"/>
        </w:rPr>
        <w:t xml:space="preserve"> </w:t>
      </w:r>
    </w:p>
    <w:p w14:paraId="29580FCB" w14:textId="69B3667E" w:rsidR="001D3D27" w:rsidRPr="00330300" w:rsidRDefault="00115DB6" w:rsidP="003B0149">
      <w:pPr>
        <w:jc w:val="both"/>
        <w:rPr>
          <w:sz w:val="24"/>
          <w:szCs w:val="24"/>
          <w:u w:val="single"/>
        </w:rPr>
      </w:pPr>
      <w:r w:rsidRPr="00330300">
        <w:rPr>
          <w:sz w:val="24"/>
          <w:szCs w:val="24"/>
        </w:rPr>
        <w:t>Asimismo, subrayan</w:t>
      </w:r>
      <w:r w:rsidR="00EB537D" w:rsidRPr="00330300">
        <w:rPr>
          <w:sz w:val="24"/>
          <w:szCs w:val="24"/>
        </w:rPr>
        <w:t xml:space="preserve"> que</w:t>
      </w:r>
      <w:r w:rsidRPr="00330300">
        <w:rPr>
          <w:sz w:val="24"/>
          <w:szCs w:val="24"/>
        </w:rPr>
        <w:t xml:space="preserve"> la obligación de llevar mascarillas supuso, y sigue suponiendo, una </w:t>
      </w:r>
      <w:r w:rsidRPr="00330300">
        <w:rPr>
          <w:bCs/>
          <w:sz w:val="24"/>
          <w:szCs w:val="24"/>
        </w:rPr>
        <w:t xml:space="preserve">limitación </w:t>
      </w:r>
      <w:r w:rsidR="00F80150" w:rsidRPr="00330300">
        <w:rPr>
          <w:bCs/>
          <w:sz w:val="24"/>
          <w:szCs w:val="24"/>
        </w:rPr>
        <w:t xml:space="preserve">para las </w:t>
      </w:r>
      <w:r w:rsidR="00F80150" w:rsidRPr="00330300">
        <w:rPr>
          <w:bCs/>
          <w:sz w:val="24"/>
          <w:szCs w:val="24"/>
          <w:u w:val="single"/>
        </w:rPr>
        <w:t>personas con discapacidad</w:t>
      </w:r>
      <w:r w:rsidR="00F80150" w:rsidRPr="00330300">
        <w:rPr>
          <w:bCs/>
          <w:sz w:val="24"/>
          <w:szCs w:val="24"/>
        </w:rPr>
        <w:t xml:space="preserve"> auditiva</w:t>
      </w:r>
      <w:r w:rsidR="00F80150" w:rsidRPr="00330300">
        <w:rPr>
          <w:sz w:val="24"/>
          <w:szCs w:val="24"/>
        </w:rPr>
        <w:t xml:space="preserve"> </w:t>
      </w:r>
      <w:r w:rsidR="00455AF5" w:rsidRPr="00330300">
        <w:rPr>
          <w:sz w:val="24"/>
          <w:szCs w:val="24"/>
        </w:rPr>
        <w:t xml:space="preserve">ya que no pueden leer los labios. </w:t>
      </w:r>
      <w:r w:rsidR="001B11A4" w:rsidRPr="00330300">
        <w:rPr>
          <w:sz w:val="24"/>
          <w:szCs w:val="24"/>
        </w:rPr>
        <w:t xml:space="preserve">También, la </w:t>
      </w:r>
      <w:r w:rsidR="001B11A4" w:rsidRPr="00330300">
        <w:rPr>
          <w:bCs/>
          <w:sz w:val="24"/>
          <w:szCs w:val="24"/>
        </w:rPr>
        <w:t xml:space="preserve">limitación en la prestación de servicios </w:t>
      </w:r>
      <w:r w:rsidR="002447E2" w:rsidRPr="00330300">
        <w:rPr>
          <w:bCs/>
          <w:sz w:val="24"/>
          <w:szCs w:val="24"/>
        </w:rPr>
        <w:t xml:space="preserve">o suspensión </w:t>
      </w:r>
      <w:r w:rsidR="00F415E6" w:rsidRPr="00330300">
        <w:rPr>
          <w:bCs/>
          <w:sz w:val="24"/>
          <w:szCs w:val="24"/>
        </w:rPr>
        <w:t xml:space="preserve">de servicios esenciales, </w:t>
      </w:r>
      <w:r w:rsidR="001B11A4" w:rsidRPr="00330300">
        <w:rPr>
          <w:bCs/>
          <w:sz w:val="24"/>
          <w:szCs w:val="24"/>
        </w:rPr>
        <w:t>de apoyo o asistencia</w:t>
      </w:r>
      <w:r w:rsidR="00634AD4" w:rsidRPr="00330300">
        <w:rPr>
          <w:sz w:val="24"/>
          <w:szCs w:val="24"/>
        </w:rPr>
        <w:t xml:space="preserve">, obligando a familiares de personas </w:t>
      </w:r>
      <w:r w:rsidR="004E7015" w:rsidRPr="00330300">
        <w:rPr>
          <w:sz w:val="24"/>
          <w:szCs w:val="24"/>
        </w:rPr>
        <w:t>dependientes o necesitadas a asumir el cuidado de s</w:t>
      </w:r>
      <w:r w:rsidR="002447E2" w:rsidRPr="00330300">
        <w:rPr>
          <w:sz w:val="24"/>
          <w:szCs w:val="24"/>
        </w:rPr>
        <w:t xml:space="preserve">us familiares. </w:t>
      </w:r>
      <w:r w:rsidR="005F44B6" w:rsidRPr="00330300">
        <w:rPr>
          <w:sz w:val="24"/>
          <w:szCs w:val="24"/>
        </w:rPr>
        <w:t xml:space="preserve">La brecha </w:t>
      </w:r>
      <w:r w:rsidR="007F15FC" w:rsidRPr="00330300">
        <w:rPr>
          <w:sz w:val="24"/>
          <w:szCs w:val="24"/>
        </w:rPr>
        <w:t>digital se puso de manifiesto</w:t>
      </w:r>
      <w:r w:rsidR="00126A3A" w:rsidRPr="00330300">
        <w:rPr>
          <w:sz w:val="24"/>
          <w:szCs w:val="24"/>
        </w:rPr>
        <w:t xml:space="preserve">, no solo con los mayores, </w:t>
      </w:r>
      <w:r w:rsidR="00F57A59" w:rsidRPr="00330300">
        <w:rPr>
          <w:sz w:val="24"/>
          <w:szCs w:val="24"/>
        </w:rPr>
        <w:t xml:space="preserve">sino también con la </w:t>
      </w:r>
      <w:r w:rsidR="00F57A59" w:rsidRPr="00330300">
        <w:rPr>
          <w:bCs/>
          <w:sz w:val="24"/>
          <w:szCs w:val="24"/>
        </w:rPr>
        <w:t xml:space="preserve">falta de accesibilidad que tenían las </w:t>
      </w:r>
      <w:r w:rsidR="00CC1695" w:rsidRPr="00330300">
        <w:rPr>
          <w:bCs/>
          <w:sz w:val="24"/>
          <w:szCs w:val="24"/>
        </w:rPr>
        <w:t>plataformas digitales</w:t>
      </w:r>
      <w:r w:rsidR="00CC1695" w:rsidRPr="00330300">
        <w:rPr>
          <w:sz w:val="24"/>
          <w:szCs w:val="24"/>
        </w:rPr>
        <w:t xml:space="preserve"> de aprendizaje o trabajo que impedían un uso normalizado por </w:t>
      </w:r>
      <w:r w:rsidR="00CC1695" w:rsidRPr="00330300">
        <w:rPr>
          <w:sz w:val="24"/>
          <w:szCs w:val="24"/>
          <w:u w:val="single"/>
        </w:rPr>
        <w:t xml:space="preserve">personas con discapacidad. </w:t>
      </w:r>
    </w:p>
    <w:p w14:paraId="3C514D41" w14:textId="0716047A" w:rsidR="00666EB8" w:rsidRPr="00330300" w:rsidRDefault="00443EC2" w:rsidP="003B0149">
      <w:pPr>
        <w:jc w:val="both"/>
        <w:rPr>
          <w:sz w:val="24"/>
          <w:szCs w:val="24"/>
        </w:rPr>
      </w:pPr>
      <w:r w:rsidRPr="00330300">
        <w:rPr>
          <w:sz w:val="24"/>
          <w:szCs w:val="24"/>
        </w:rPr>
        <w:lastRenderedPageBreak/>
        <w:t xml:space="preserve">En los </w:t>
      </w:r>
      <w:r w:rsidRPr="00330300">
        <w:rPr>
          <w:bCs/>
          <w:sz w:val="24"/>
          <w:szCs w:val="24"/>
        </w:rPr>
        <w:t xml:space="preserve">planes de recuperación </w:t>
      </w:r>
      <w:r w:rsidR="0088159E" w:rsidRPr="00330300">
        <w:rPr>
          <w:bCs/>
          <w:sz w:val="24"/>
          <w:szCs w:val="24"/>
        </w:rPr>
        <w:t>elaborados por los diferentes países de la Unión Europea</w:t>
      </w:r>
      <w:r w:rsidR="00371B99" w:rsidRPr="00330300">
        <w:rPr>
          <w:bCs/>
          <w:sz w:val="24"/>
          <w:szCs w:val="24"/>
        </w:rPr>
        <w:t xml:space="preserve"> </w:t>
      </w:r>
      <w:r w:rsidR="00371B99" w:rsidRPr="00330300">
        <w:rPr>
          <w:sz w:val="24"/>
          <w:szCs w:val="24"/>
        </w:rPr>
        <w:t xml:space="preserve">se </w:t>
      </w:r>
      <w:r w:rsidR="00BA4384" w:rsidRPr="00330300">
        <w:rPr>
          <w:sz w:val="24"/>
          <w:szCs w:val="24"/>
        </w:rPr>
        <w:t xml:space="preserve">incluyen medidas para facilitar el acceso al mercado laboral de las </w:t>
      </w:r>
      <w:r w:rsidR="00BA4384" w:rsidRPr="00330300">
        <w:rPr>
          <w:sz w:val="24"/>
          <w:szCs w:val="24"/>
          <w:u w:val="single"/>
        </w:rPr>
        <w:t xml:space="preserve">personas con </w:t>
      </w:r>
      <w:r w:rsidR="00A5075F" w:rsidRPr="00330300">
        <w:rPr>
          <w:sz w:val="24"/>
          <w:szCs w:val="24"/>
          <w:u w:val="single"/>
        </w:rPr>
        <w:t>discapacidad</w:t>
      </w:r>
      <w:r w:rsidR="00A5075F" w:rsidRPr="00330300">
        <w:rPr>
          <w:sz w:val="24"/>
          <w:szCs w:val="24"/>
        </w:rPr>
        <w:t>, reformas</w:t>
      </w:r>
      <w:r w:rsidR="00C55615" w:rsidRPr="00330300">
        <w:rPr>
          <w:sz w:val="24"/>
          <w:szCs w:val="24"/>
        </w:rPr>
        <w:t xml:space="preserve"> en los sistemas de seguridad social </w:t>
      </w:r>
      <w:r w:rsidR="00B5267C" w:rsidRPr="00330300">
        <w:rPr>
          <w:sz w:val="24"/>
          <w:szCs w:val="24"/>
        </w:rPr>
        <w:t>para responder de una manera más eficaz y eficiente a la necesidad de protección de las personas en situación de vulnerabilidad</w:t>
      </w:r>
      <w:r w:rsidR="00BB563D" w:rsidRPr="00330300">
        <w:rPr>
          <w:sz w:val="24"/>
          <w:szCs w:val="24"/>
        </w:rPr>
        <w:t xml:space="preserve"> o medidas para el fomento de la participación social, mejorando </w:t>
      </w:r>
      <w:r w:rsidR="00EC7E2A" w:rsidRPr="00330300">
        <w:rPr>
          <w:sz w:val="24"/>
          <w:szCs w:val="24"/>
        </w:rPr>
        <w:t xml:space="preserve">la accesibilidad y la movilidad mediante ayudas técnicas y tecnológicas. </w:t>
      </w:r>
    </w:p>
    <w:p w14:paraId="570D44DC" w14:textId="0B221C30" w:rsidR="001B53BB" w:rsidRDefault="00803D7D" w:rsidP="003B0149">
      <w:pPr>
        <w:jc w:val="both"/>
        <w:rPr>
          <w:sz w:val="24"/>
          <w:szCs w:val="24"/>
        </w:rPr>
      </w:pPr>
      <w:r w:rsidRPr="00330300">
        <w:rPr>
          <w:sz w:val="24"/>
          <w:szCs w:val="24"/>
        </w:rPr>
        <w:t xml:space="preserve">La FRA recopiló </w:t>
      </w:r>
      <w:r w:rsidR="00703E04" w:rsidRPr="00330300">
        <w:rPr>
          <w:sz w:val="24"/>
          <w:szCs w:val="24"/>
        </w:rPr>
        <w:t>la información sobre herramientas o mecanismos utilizados p</w:t>
      </w:r>
      <w:r w:rsidR="00B81955" w:rsidRPr="00330300">
        <w:rPr>
          <w:sz w:val="24"/>
          <w:szCs w:val="24"/>
        </w:rPr>
        <w:t xml:space="preserve">or cada país para evaluar la eficacia </w:t>
      </w:r>
      <w:r w:rsidR="007E18F3" w:rsidRPr="00330300">
        <w:rPr>
          <w:sz w:val="24"/>
          <w:szCs w:val="24"/>
        </w:rPr>
        <w:t xml:space="preserve">y extensión de sus </w:t>
      </w:r>
      <w:r w:rsidR="00544277" w:rsidRPr="00330300">
        <w:rPr>
          <w:sz w:val="24"/>
          <w:szCs w:val="24"/>
        </w:rPr>
        <w:t xml:space="preserve">Planes de </w:t>
      </w:r>
      <w:r w:rsidR="003F7622" w:rsidRPr="00330300">
        <w:rPr>
          <w:sz w:val="24"/>
          <w:szCs w:val="24"/>
        </w:rPr>
        <w:t xml:space="preserve">Nacionales </w:t>
      </w:r>
      <w:r w:rsidR="00D923D8" w:rsidRPr="00330300">
        <w:rPr>
          <w:sz w:val="24"/>
          <w:szCs w:val="24"/>
        </w:rPr>
        <w:t xml:space="preserve">de </w:t>
      </w:r>
      <w:r w:rsidR="002E5032" w:rsidRPr="00330300">
        <w:rPr>
          <w:sz w:val="24"/>
          <w:szCs w:val="24"/>
        </w:rPr>
        <w:t>R</w:t>
      </w:r>
      <w:r w:rsidR="00D923D8" w:rsidRPr="00330300">
        <w:rPr>
          <w:sz w:val="24"/>
          <w:szCs w:val="24"/>
        </w:rPr>
        <w:t xml:space="preserve">ecuperación y </w:t>
      </w:r>
      <w:r w:rsidR="002E5032" w:rsidRPr="00330300">
        <w:rPr>
          <w:sz w:val="24"/>
          <w:szCs w:val="24"/>
        </w:rPr>
        <w:t>P</w:t>
      </w:r>
      <w:r w:rsidR="00D923D8" w:rsidRPr="00330300">
        <w:rPr>
          <w:sz w:val="24"/>
          <w:szCs w:val="24"/>
        </w:rPr>
        <w:t xml:space="preserve">romoción de los </w:t>
      </w:r>
      <w:r w:rsidR="00934FB2" w:rsidRPr="00330300">
        <w:rPr>
          <w:sz w:val="24"/>
          <w:szCs w:val="24"/>
        </w:rPr>
        <w:t>D</w:t>
      </w:r>
      <w:r w:rsidR="00D923D8" w:rsidRPr="00330300">
        <w:rPr>
          <w:sz w:val="24"/>
          <w:szCs w:val="24"/>
        </w:rPr>
        <w:t xml:space="preserve">erechos </w:t>
      </w:r>
      <w:r w:rsidR="00934FB2" w:rsidRPr="00330300">
        <w:rPr>
          <w:sz w:val="24"/>
          <w:szCs w:val="24"/>
        </w:rPr>
        <w:t>S</w:t>
      </w:r>
      <w:r w:rsidR="00D923D8" w:rsidRPr="00330300">
        <w:rPr>
          <w:sz w:val="24"/>
          <w:szCs w:val="24"/>
        </w:rPr>
        <w:t>ociales</w:t>
      </w:r>
      <w:r w:rsidR="007E18F3" w:rsidRPr="00330300">
        <w:rPr>
          <w:sz w:val="24"/>
          <w:szCs w:val="24"/>
        </w:rPr>
        <w:t>. Identificó que, en algunos países</w:t>
      </w:r>
      <w:r w:rsidR="004344DA" w:rsidRPr="00330300">
        <w:rPr>
          <w:sz w:val="24"/>
          <w:szCs w:val="24"/>
        </w:rPr>
        <w:t>,</w:t>
      </w:r>
      <w:r w:rsidR="007E18F3" w:rsidRPr="00330300">
        <w:rPr>
          <w:sz w:val="24"/>
          <w:szCs w:val="24"/>
        </w:rPr>
        <w:t xml:space="preserve"> </w:t>
      </w:r>
      <w:r w:rsidR="0079509A" w:rsidRPr="00330300">
        <w:rPr>
          <w:sz w:val="24"/>
          <w:szCs w:val="24"/>
        </w:rPr>
        <w:t>la</w:t>
      </w:r>
      <w:r w:rsidR="004344DA" w:rsidRPr="00330300">
        <w:rPr>
          <w:sz w:val="24"/>
          <w:szCs w:val="24"/>
        </w:rPr>
        <w:t>s medidas de sus planes entra</w:t>
      </w:r>
      <w:r w:rsidR="00D61182" w:rsidRPr="00330300">
        <w:rPr>
          <w:sz w:val="24"/>
          <w:szCs w:val="24"/>
        </w:rPr>
        <w:t>n</w:t>
      </w:r>
      <w:r w:rsidR="004344DA" w:rsidRPr="00330300">
        <w:rPr>
          <w:sz w:val="24"/>
          <w:szCs w:val="24"/>
        </w:rPr>
        <w:t xml:space="preserve"> en contradicción con la </w:t>
      </w:r>
      <w:r w:rsidR="004344DA" w:rsidRPr="00330300">
        <w:rPr>
          <w:bCs/>
          <w:sz w:val="24"/>
          <w:szCs w:val="24"/>
        </w:rPr>
        <w:t xml:space="preserve">Carta de Derechos Fundamentales de la Unión Europea y la Convención </w:t>
      </w:r>
      <w:r w:rsidR="002001AE" w:rsidRPr="00330300">
        <w:rPr>
          <w:bCs/>
          <w:sz w:val="24"/>
          <w:szCs w:val="24"/>
        </w:rPr>
        <w:t>de los Derechos de las Personas con Discapacidad</w:t>
      </w:r>
      <w:r w:rsidR="00D61182" w:rsidRPr="00330300">
        <w:rPr>
          <w:bCs/>
          <w:sz w:val="24"/>
          <w:szCs w:val="24"/>
        </w:rPr>
        <w:t xml:space="preserve">, </w:t>
      </w:r>
      <w:r w:rsidR="00D61182" w:rsidRPr="00330300">
        <w:rPr>
          <w:sz w:val="24"/>
          <w:szCs w:val="24"/>
        </w:rPr>
        <w:t xml:space="preserve">sobre todo, en relación </w:t>
      </w:r>
      <w:r w:rsidR="00421DDA" w:rsidRPr="00330300">
        <w:rPr>
          <w:sz w:val="24"/>
          <w:szCs w:val="24"/>
        </w:rPr>
        <w:t xml:space="preserve">con el </w:t>
      </w:r>
      <w:r w:rsidR="00421DDA" w:rsidRPr="00330300">
        <w:rPr>
          <w:bCs/>
          <w:sz w:val="24"/>
          <w:szCs w:val="24"/>
        </w:rPr>
        <w:t>derecho a vivir</w:t>
      </w:r>
      <w:r w:rsidR="00923D01" w:rsidRPr="00330300">
        <w:rPr>
          <w:bCs/>
          <w:sz w:val="24"/>
          <w:szCs w:val="24"/>
        </w:rPr>
        <w:t xml:space="preserve"> libremente</w:t>
      </w:r>
      <w:r w:rsidR="00421DDA" w:rsidRPr="00330300">
        <w:rPr>
          <w:bCs/>
          <w:sz w:val="24"/>
          <w:szCs w:val="24"/>
        </w:rPr>
        <w:t xml:space="preserve"> en comunidad</w:t>
      </w:r>
      <w:r w:rsidR="00923D01" w:rsidRPr="00330300">
        <w:rPr>
          <w:sz w:val="24"/>
          <w:szCs w:val="24"/>
        </w:rPr>
        <w:t>. Concretamente</w:t>
      </w:r>
      <w:r w:rsidR="00E00088" w:rsidRPr="00330300">
        <w:rPr>
          <w:sz w:val="24"/>
          <w:szCs w:val="24"/>
        </w:rPr>
        <w:t>, en el Reporte de los Derechos Fundamentales (2022)</w:t>
      </w:r>
      <w:r w:rsidR="00923D01" w:rsidRPr="00330300">
        <w:rPr>
          <w:sz w:val="24"/>
          <w:szCs w:val="24"/>
        </w:rPr>
        <w:t xml:space="preserve"> </w:t>
      </w:r>
      <w:r w:rsidR="00E00088" w:rsidRPr="00330300">
        <w:rPr>
          <w:sz w:val="24"/>
          <w:szCs w:val="24"/>
        </w:rPr>
        <w:t xml:space="preserve">declaran: “El Grupo Europeo de Expertos sobre la </w:t>
      </w:r>
      <w:r w:rsidR="00A33761" w:rsidRPr="00330300">
        <w:rPr>
          <w:sz w:val="24"/>
          <w:szCs w:val="24"/>
        </w:rPr>
        <w:t>T</w:t>
      </w:r>
      <w:r w:rsidR="00E00088" w:rsidRPr="00330300">
        <w:rPr>
          <w:sz w:val="24"/>
          <w:szCs w:val="24"/>
        </w:rPr>
        <w:t xml:space="preserve">ransición </w:t>
      </w:r>
      <w:r w:rsidR="00A33761" w:rsidRPr="00330300">
        <w:rPr>
          <w:sz w:val="24"/>
          <w:szCs w:val="24"/>
        </w:rPr>
        <w:t>de la Asistencia Institucional a la Comunidad</w:t>
      </w:r>
      <w:r w:rsidR="00D259A4" w:rsidRPr="00330300">
        <w:rPr>
          <w:sz w:val="24"/>
          <w:szCs w:val="24"/>
        </w:rPr>
        <w:t xml:space="preserve">, por ejemplo, ha expresado </w:t>
      </w:r>
      <w:r w:rsidR="008717CD" w:rsidRPr="00330300">
        <w:rPr>
          <w:sz w:val="24"/>
          <w:szCs w:val="24"/>
        </w:rPr>
        <w:t xml:space="preserve">su </w:t>
      </w:r>
      <w:r w:rsidR="008717CD" w:rsidRPr="00330300">
        <w:rPr>
          <w:bCs/>
          <w:sz w:val="24"/>
          <w:szCs w:val="24"/>
        </w:rPr>
        <w:t xml:space="preserve">preocupación por el hecho de que los fondos del mecanismo puedan utilizarse </w:t>
      </w:r>
      <w:r w:rsidR="00732C30" w:rsidRPr="00330300">
        <w:rPr>
          <w:bCs/>
          <w:sz w:val="24"/>
          <w:szCs w:val="24"/>
        </w:rPr>
        <w:t>para reformar o construir instituciones</w:t>
      </w:r>
      <w:r w:rsidR="00732C30" w:rsidRPr="00330300">
        <w:rPr>
          <w:sz w:val="24"/>
          <w:szCs w:val="24"/>
        </w:rPr>
        <w:t xml:space="preserve"> para </w:t>
      </w:r>
      <w:r w:rsidR="00732C30" w:rsidRPr="00330300">
        <w:rPr>
          <w:sz w:val="24"/>
          <w:szCs w:val="24"/>
          <w:u w:val="single"/>
        </w:rPr>
        <w:t>las personas con discapacidad</w:t>
      </w:r>
      <w:r w:rsidR="00732C30" w:rsidRPr="00330300">
        <w:rPr>
          <w:sz w:val="24"/>
          <w:szCs w:val="24"/>
        </w:rPr>
        <w:t xml:space="preserve"> en lugar de aplicar medidas para </w:t>
      </w:r>
      <w:r w:rsidR="00732C30" w:rsidRPr="00330300">
        <w:rPr>
          <w:bCs/>
          <w:sz w:val="24"/>
          <w:szCs w:val="24"/>
        </w:rPr>
        <w:t>garantizar que puedan vivir en la comunidad</w:t>
      </w:r>
      <w:r w:rsidR="00656D1F" w:rsidRPr="00330300">
        <w:rPr>
          <w:sz w:val="24"/>
          <w:szCs w:val="24"/>
        </w:rPr>
        <w:t>. Eso podría</w:t>
      </w:r>
      <w:r w:rsidR="00F11831" w:rsidRPr="00330300">
        <w:rPr>
          <w:sz w:val="24"/>
          <w:szCs w:val="24"/>
        </w:rPr>
        <w:t xml:space="preserve"> no cumplir con el derecho derivado del </w:t>
      </w:r>
      <w:r w:rsidR="00F11831" w:rsidRPr="00330300">
        <w:rPr>
          <w:bCs/>
          <w:sz w:val="24"/>
          <w:szCs w:val="24"/>
        </w:rPr>
        <w:t>Art</w:t>
      </w:r>
      <w:r w:rsidR="00451F59" w:rsidRPr="00330300">
        <w:rPr>
          <w:bCs/>
          <w:sz w:val="24"/>
          <w:szCs w:val="24"/>
        </w:rPr>
        <w:t>í</w:t>
      </w:r>
      <w:r w:rsidR="00F11831" w:rsidRPr="00330300">
        <w:rPr>
          <w:bCs/>
          <w:sz w:val="24"/>
          <w:szCs w:val="24"/>
        </w:rPr>
        <w:t>culo 19 de la CDPD</w:t>
      </w:r>
      <w:r w:rsidR="00451F59" w:rsidRPr="00330300">
        <w:rPr>
          <w:sz w:val="24"/>
          <w:szCs w:val="24"/>
        </w:rPr>
        <w:t>”</w:t>
      </w:r>
      <w:r w:rsidR="009467B5" w:rsidRPr="00330300">
        <w:rPr>
          <w:sz w:val="24"/>
          <w:szCs w:val="24"/>
        </w:rPr>
        <w:t xml:space="preserve"> (p. </w:t>
      </w:r>
      <w:r w:rsidR="009652BB" w:rsidRPr="00330300">
        <w:rPr>
          <w:sz w:val="24"/>
          <w:szCs w:val="24"/>
        </w:rPr>
        <w:t>17)</w:t>
      </w:r>
      <w:r w:rsidR="00330300">
        <w:rPr>
          <w:sz w:val="24"/>
          <w:szCs w:val="24"/>
        </w:rPr>
        <w:t xml:space="preserve">. </w:t>
      </w:r>
    </w:p>
    <w:p w14:paraId="36A01AF4" w14:textId="77777777" w:rsidR="002F08C1" w:rsidRPr="00330300" w:rsidRDefault="002F08C1" w:rsidP="003B0149">
      <w:pPr>
        <w:jc w:val="both"/>
        <w:rPr>
          <w:sz w:val="24"/>
          <w:szCs w:val="24"/>
        </w:rPr>
      </w:pPr>
    </w:p>
    <w:p w14:paraId="1D89DC52" w14:textId="14E9DCD4" w:rsidR="00AE17BD" w:rsidRPr="00330300" w:rsidRDefault="005561B2" w:rsidP="005561B2">
      <w:pPr>
        <w:pStyle w:val="Prrafodelista"/>
        <w:numPr>
          <w:ilvl w:val="0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330300">
        <w:rPr>
          <w:rFonts w:ascii="Rockwell" w:hAnsi="Rockwell"/>
          <w:b/>
          <w:bCs/>
          <w:sz w:val="24"/>
          <w:szCs w:val="24"/>
        </w:rPr>
        <w:t xml:space="preserve">Planes concretos </w:t>
      </w:r>
      <w:r w:rsidR="003A5938" w:rsidRPr="00330300">
        <w:rPr>
          <w:rFonts w:ascii="Rockwell" w:hAnsi="Rockwell"/>
          <w:b/>
          <w:bCs/>
          <w:sz w:val="24"/>
          <w:szCs w:val="24"/>
        </w:rPr>
        <w:t>dirigidos a</w:t>
      </w:r>
      <w:r w:rsidRPr="00330300">
        <w:rPr>
          <w:rFonts w:ascii="Rockwell" w:hAnsi="Rockwell"/>
          <w:b/>
          <w:bCs/>
          <w:sz w:val="24"/>
          <w:szCs w:val="24"/>
        </w:rPr>
        <w:t xml:space="preserve"> las personas con discapacidad</w:t>
      </w:r>
    </w:p>
    <w:p w14:paraId="6605D110" w14:textId="6584214A" w:rsidR="00A5606C" w:rsidRPr="00330300" w:rsidRDefault="00A5606C" w:rsidP="00A5606C">
      <w:pPr>
        <w:jc w:val="both"/>
        <w:rPr>
          <w:rFonts w:cstheme="minorHAnsi"/>
          <w:sz w:val="24"/>
          <w:szCs w:val="24"/>
        </w:rPr>
      </w:pPr>
      <w:r w:rsidRPr="00330300">
        <w:rPr>
          <w:rFonts w:cstheme="minorHAnsi"/>
          <w:sz w:val="24"/>
          <w:szCs w:val="24"/>
        </w:rPr>
        <w:t xml:space="preserve">A </w:t>
      </w:r>
      <w:r w:rsidR="00FE36E6" w:rsidRPr="00330300">
        <w:rPr>
          <w:rFonts w:cstheme="minorHAnsi"/>
          <w:sz w:val="24"/>
          <w:szCs w:val="24"/>
        </w:rPr>
        <w:t>parte de los Planes de Nacionales de Recuperación y Promoción de los Derechos Sociales</w:t>
      </w:r>
      <w:r w:rsidR="0026613A" w:rsidRPr="00330300">
        <w:rPr>
          <w:rFonts w:cstheme="minorHAnsi"/>
          <w:sz w:val="24"/>
          <w:szCs w:val="24"/>
        </w:rPr>
        <w:t>, en el Reporte elaborado por la Agencia de la Unión Europea por los Derechos Fundamentales</w:t>
      </w:r>
      <w:r w:rsidR="007B4661" w:rsidRPr="00330300">
        <w:rPr>
          <w:rFonts w:cstheme="minorHAnsi"/>
          <w:sz w:val="24"/>
          <w:szCs w:val="24"/>
        </w:rPr>
        <w:t xml:space="preserve"> se examina también diferentes </w:t>
      </w:r>
      <w:r w:rsidR="00F72FEA" w:rsidRPr="00330300">
        <w:rPr>
          <w:rFonts w:cstheme="minorHAnsi"/>
          <w:sz w:val="24"/>
          <w:szCs w:val="24"/>
        </w:rPr>
        <w:t xml:space="preserve">programas </w:t>
      </w:r>
      <w:r w:rsidR="007B4661" w:rsidRPr="00330300">
        <w:rPr>
          <w:rFonts w:cstheme="minorHAnsi"/>
          <w:sz w:val="24"/>
          <w:szCs w:val="24"/>
        </w:rPr>
        <w:t xml:space="preserve">dirigidos a personas </w:t>
      </w:r>
      <w:r w:rsidR="002C7BA3" w:rsidRPr="00330300">
        <w:rPr>
          <w:rFonts w:cstheme="minorHAnsi"/>
          <w:sz w:val="24"/>
          <w:szCs w:val="24"/>
        </w:rPr>
        <w:t>en rie</w:t>
      </w:r>
      <w:r w:rsidR="00B3162F" w:rsidRPr="00330300">
        <w:rPr>
          <w:rFonts w:cstheme="minorHAnsi"/>
          <w:sz w:val="24"/>
          <w:szCs w:val="24"/>
        </w:rPr>
        <w:t>s</w:t>
      </w:r>
      <w:r w:rsidR="002C7BA3" w:rsidRPr="00330300">
        <w:rPr>
          <w:rFonts w:cstheme="minorHAnsi"/>
          <w:sz w:val="24"/>
          <w:szCs w:val="24"/>
        </w:rPr>
        <w:t>go de vulnerabilidad social</w:t>
      </w:r>
      <w:r w:rsidR="006252D0" w:rsidRPr="00330300">
        <w:rPr>
          <w:rFonts w:cstheme="minorHAnsi"/>
          <w:sz w:val="24"/>
          <w:szCs w:val="24"/>
        </w:rPr>
        <w:t xml:space="preserve">. </w:t>
      </w:r>
      <w:r w:rsidR="00DD4715" w:rsidRPr="00330300">
        <w:rPr>
          <w:rFonts w:cstheme="minorHAnsi"/>
          <w:sz w:val="24"/>
          <w:szCs w:val="24"/>
        </w:rPr>
        <w:t xml:space="preserve">En relación con las </w:t>
      </w:r>
      <w:r w:rsidR="00DD4715" w:rsidRPr="00330300">
        <w:rPr>
          <w:rFonts w:cstheme="minorHAnsi"/>
          <w:sz w:val="24"/>
          <w:szCs w:val="24"/>
          <w:u w:val="single"/>
        </w:rPr>
        <w:t>personas con discapacidad</w:t>
      </w:r>
      <w:r w:rsidR="00DD4715" w:rsidRPr="00330300">
        <w:rPr>
          <w:rFonts w:cstheme="minorHAnsi"/>
          <w:sz w:val="24"/>
          <w:szCs w:val="24"/>
        </w:rPr>
        <w:t xml:space="preserve">, </w:t>
      </w:r>
      <w:r w:rsidR="00544B3F" w:rsidRPr="00330300">
        <w:rPr>
          <w:rFonts w:cstheme="minorHAnsi"/>
          <w:sz w:val="24"/>
          <w:szCs w:val="24"/>
        </w:rPr>
        <w:t>se elaboraron</w:t>
      </w:r>
      <w:r w:rsidR="00AB0EFC" w:rsidRPr="00330300">
        <w:rPr>
          <w:rFonts w:cstheme="minorHAnsi"/>
          <w:sz w:val="24"/>
          <w:szCs w:val="24"/>
        </w:rPr>
        <w:t>,</w:t>
      </w:r>
      <w:r w:rsidR="00544B3F" w:rsidRPr="00330300">
        <w:rPr>
          <w:rFonts w:cstheme="minorHAnsi"/>
          <w:sz w:val="24"/>
          <w:szCs w:val="24"/>
        </w:rPr>
        <w:t xml:space="preserve"> </w:t>
      </w:r>
      <w:r w:rsidR="00AB0EFC" w:rsidRPr="00330300">
        <w:rPr>
          <w:rFonts w:cstheme="minorHAnsi"/>
          <w:sz w:val="24"/>
          <w:szCs w:val="24"/>
        </w:rPr>
        <w:t xml:space="preserve">en países como Croacia o España, </w:t>
      </w:r>
      <w:r w:rsidR="00544B3F" w:rsidRPr="00330300">
        <w:rPr>
          <w:rFonts w:cstheme="minorHAnsi"/>
          <w:sz w:val="24"/>
          <w:szCs w:val="24"/>
        </w:rPr>
        <w:t xml:space="preserve">diferentes </w:t>
      </w:r>
      <w:r w:rsidR="00544B3F" w:rsidRPr="00330300">
        <w:rPr>
          <w:rFonts w:cstheme="minorHAnsi"/>
          <w:bCs/>
          <w:sz w:val="24"/>
          <w:szCs w:val="24"/>
        </w:rPr>
        <w:t>guías de cómo actuar ante un caso de delito de odio</w:t>
      </w:r>
      <w:r w:rsidR="00544B3F" w:rsidRPr="00330300">
        <w:rPr>
          <w:rFonts w:cstheme="minorHAnsi"/>
          <w:sz w:val="24"/>
          <w:szCs w:val="24"/>
        </w:rPr>
        <w:t xml:space="preserve"> dirigido contra este colectivo, </w:t>
      </w:r>
      <w:r w:rsidR="005C4D4A" w:rsidRPr="00330300">
        <w:rPr>
          <w:rFonts w:cstheme="minorHAnsi"/>
          <w:sz w:val="24"/>
          <w:szCs w:val="24"/>
        </w:rPr>
        <w:t xml:space="preserve">mejoras en el </w:t>
      </w:r>
      <w:r w:rsidR="005C4D4A" w:rsidRPr="00330300">
        <w:rPr>
          <w:rFonts w:cstheme="minorHAnsi"/>
          <w:bCs/>
          <w:sz w:val="24"/>
          <w:szCs w:val="24"/>
        </w:rPr>
        <w:t xml:space="preserve">registro </w:t>
      </w:r>
      <w:r w:rsidR="00AB0EFC" w:rsidRPr="00330300">
        <w:rPr>
          <w:rFonts w:cstheme="minorHAnsi"/>
          <w:bCs/>
          <w:sz w:val="24"/>
          <w:szCs w:val="24"/>
        </w:rPr>
        <w:t>y seguimiento</w:t>
      </w:r>
      <w:r w:rsidR="00AB0EFC" w:rsidRPr="00330300">
        <w:rPr>
          <w:rFonts w:cstheme="minorHAnsi"/>
          <w:sz w:val="24"/>
          <w:szCs w:val="24"/>
        </w:rPr>
        <w:t xml:space="preserve"> de los mismos, </w:t>
      </w:r>
      <w:r w:rsidR="00AB0EFC" w:rsidRPr="00330300">
        <w:rPr>
          <w:rFonts w:cstheme="minorHAnsi"/>
          <w:bCs/>
          <w:sz w:val="24"/>
          <w:szCs w:val="24"/>
        </w:rPr>
        <w:t>reforzar la protección de la</w:t>
      </w:r>
      <w:r w:rsidR="00330300" w:rsidRPr="00330300">
        <w:rPr>
          <w:rFonts w:cstheme="minorHAnsi"/>
          <w:bCs/>
          <w:sz w:val="24"/>
          <w:szCs w:val="24"/>
        </w:rPr>
        <w:t>s</w:t>
      </w:r>
      <w:r w:rsidR="00AB0EFC" w:rsidRPr="00330300">
        <w:rPr>
          <w:rFonts w:cstheme="minorHAnsi"/>
          <w:bCs/>
          <w:sz w:val="24"/>
          <w:szCs w:val="24"/>
        </w:rPr>
        <w:t xml:space="preserve"> v</w:t>
      </w:r>
      <w:r w:rsidR="00B3162F" w:rsidRPr="00330300">
        <w:rPr>
          <w:rFonts w:cstheme="minorHAnsi"/>
          <w:bCs/>
          <w:sz w:val="24"/>
          <w:szCs w:val="24"/>
        </w:rPr>
        <w:t>í</w:t>
      </w:r>
      <w:r w:rsidR="00AB0EFC" w:rsidRPr="00330300">
        <w:rPr>
          <w:rFonts w:cstheme="minorHAnsi"/>
          <w:bCs/>
          <w:sz w:val="24"/>
          <w:szCs w:val="24"/>
        </w:rPr>
        <w:t>ctimas</w:t>
      </w:r>
      <w:r w:rsidR="00AB0EFC" w:rsidRPr="00330300">
        <w:rPr>
          <w:rFonts w:cstheme="minorHAnsi"/>
          <w:sz w:val="24"/>
          <w:szCs w:val="24"/>
        </w:rPr>
        <w:t xml:space="preserve"> </w:t>
      </w:r>
      <w:r w:rsidR="00DF7D11" w:rsidRPr="00330300">
        <w:rPr>
          <w:rFonts w:cstheme="minorHAnsi"/>
          <w:sz w:val="24"/>
          <w:szCs w:val="24"/>
        </w:rPr>
        <w:t xml:space="preserve">o diferentes protocolos para </w:t>
      </w:r>
      <w:r w:rsidR="00DF7D11" w:rsidRPr="00330300">
        <w:rPr>
          <w:rFonts w:cstheme="minorHAnsi"/>
          <w:bCs/>
          <w:sz w:val="24"/>
          <w:szCs w:val="24"/>
        </w:rPr>
        <w:t>combatir el discurso ilegal de odio en Interne</w:t>
      </w:r>
      <w:r w:rsidR="00645521" w:rsidRPr="00330300">
        <w:rPr>
          <w:rFonts w:cstheme="minorHAnsi"/>
          <w:bCs/>
          <w:sz w:val="24"/>
          <w:szCs w:val="24"/>
        </w:rPr>
        <w:t>t</w:t>
      </w:r>
      <w:r w:rsidR="00645521" w:rsidRPr="00330300">
        <w:rPr>
          <w:rFonts w:cstheme="minorHAnsi"/>
          <w:sz w:val="24"/>
          <w:szCs w:val="24"/>
        </w:rPr>
        <w:t>.</w:t>
      </w:r>
    </w:p>
    <w:p w14:paraId="793855D8" w14:textId="518FB6AD" w:rsidR="005E0600" w:rsidRDefault="005E0600" w:rsidP="00A5606C">
      <w:pPr>
        <w:jc w:val="both"/>
        <w:rPr>
          <w:rFonts w:cstheme="minorHAnsi"/>
          <w:sz w:val="24"/>
          <w:szCs w:val="24"/>
        </w:rPr>
      </w:pPr>
      <w:r w:rsidRPr="00330300">
        <w:rPr>
          <w:rFonts w:cstheme="minorHAnsi"/>
          <w:sz w:val="24"/>
          <w:szCs w:val="24"/>
        </w:rPr>
        <w:t>Asimismo, desde la FRA se</w:t>
      </w:r>
      <w:r w:rsidR="00860EFE" w:rsidRPr="00330300">
        <w:rPr>
          <w:rFonts w:cstheme="minorHAnsi"/>
          <w:sz w:val="24"/>
          <w:szCs w:val="24"/>
        </w:rPr>
        <w:t xml:space="preserve"> recalca la </w:t>
      </w:r>
      <w:r w:rsidR="00952519" w:rsidRPr="00330300">
        <w:rPr>
          <w:rFonts w:cstheme="minorHAnsi"/>
          <w:sz w:val="24"/>
          <w:szCs w:val="24"/>
        </w:rPr>
        <w:t>exigencia</w:t>
      </w:r>
      <w:r w:rsidR="00860EFE" w:rsidRPr="00330300">
        <w:rPr>
          <w:rFonts w:cstheme="minorHAnsi"/>
          <w:sz w:val="24"/>
          <w:szCs w:val="24"/>
        </w:rPr>
        <w:t xml:space="preserve"> de tener en cu</w:t>
      </w:r>
      <w:r w:rsidR="00952519" w:rsidRPr="00330300">
        <w:rPr>
          <w:rFonts w:cstheme="minorHAnsi"/>
          <w:sz w:val="24"/>
          <w:szCs w:val="24"/>
        </w:rPr>
        <w:t>enta</w:t>
      </w:r>
      <w:r w:rsidR="00860EFE" w:rsidRPr="00330300">
        <w:rPr>
          <w:rFonts w:cstheme="minorHAnsi"/>
          <w:sz w:val="24"/>
          <w:szCs w:val="24"/>
        </w:rPr>
        <w:t xml:space="preserve"> </w:t>
      </w:r>
      <w:r w:rsidR="00952519" w:rsidRPr="00330300">
        <w:rPr>
          <w:rFonts w:cstheme="minorHAnsi"/>
          <w:sz w:val="24"/>
          <w:szCs w:val="24"/>
        </w:rPr>
        <w:t xml:space="preserve">las </w:t>
      </w:r>
      <w:r w:rsidR="00952519" w:rsidRPr="00330300">
        <w:rPr>
          <w:rFonts w:cstheme="minorHAnsi"/>
          <w:bCs/>
          <w:sz w:val="24"/>
          <w:szCs w:val="24"/>
        </w:rPr>
        <w:t>necesidades espec</w:t>
      </w:r>
      <w:r w:rsidR="00B3162F" w:rsidRPr="00330300">
        <w:rPr>
          <w:rFonts w:cstheme="minorHAnsi"/>
          <w:bCs/>
          <w:sz w:val="24"/>
          <w:szCs w:val="24"/>
        </w:rPr>
        <w:t>í</w:t>
      </w:r>
      <w:r w:rsidR="00952519" w:rsidRPr="00330300">
        <w:rPr>
          <w:rFonts w:cstheme="minorHAnsi"/>
          <w:bCs/>
          <w:sz w:val="24"/>
          <w:szCs w:val="24"/>
        </w:rPr>
        <w:t xml:space="preserve">ficas de los niños y </w:t>
      </w:r>
      <w:r w:rsidR="00747D2E">
        <w:rPr>
          <w:rFonts w:cstheme="minorHAnsi"/>
          <w:bCs/>
          <w:sz w:val="24"/>
          <w:szCs w:val="24"/>
        </w:rPr>
        <w:t xml:space="preserve">las </w:t>
      </w:r>
      <w:r w:rsidR="00952519" w:rsidRPr="00330300">
        <w:rPr>
          <w:rFonts w:cstheme="minorHAnsi"/>
          <w:bCs/>
          <w:sz w:val="24"/>
          <w:szCs w:val="24"/>
        </w:rPr>
        <w:t>niñas procedentes de entornos desf</w:t>
      </w:r>
      <w:r w:rsidR="00CD6E77" w:rsidRPr="00330300">
        <w:rPr>
          <w:rFonts w:cstheme="minorHAnsi"/>
          <w:bCs/>
          <w:sz w:val="24"/>
          <w:szCs w:val="24"/>
        </w:rPr>
        <w:t>avo</w:t>
      </w:r>
      <w:r w:rsidR="00952519" w:rsidRPr="00330300">
        <w:rPr>
          <w:rFonts w:cstheme="minorHAnsi"/>
          <w:bCs/>
          <w:sz w:val="24"/>
          <w:szCs w:val="24"/>
        </w:rPr>
        <w:t>recidos</w:t>
      </w:r>
      <w:r w:rsidR="00952519" w:rsidRPr="00330300">
        <w:rPr>
          <w:rFonts w:cstheme="minorHAnsi"/>
          <w:sz w:val="24"/>
          <w:szCs w:val="24"/>
        </w:rPr>
        <w:t xml:space="preserve">, </w:t>
      </w:r>
      <w:r w:rsidR="00CD6E77" w:rsidRPr="00330300">
        <w:rPr>
          <w:rFonts w:cstheme="minorHAnsi"/>
          <w:sz w:val="24"/>
          <w:szCs w:val="24"/>
        </w:rPr>
        <w:t xml:space="preserve">en especial a los infantes que tengan alguna </w:t>
      </w:r>
      <w:r w:rsidR="00CD6E77" w:rsidRPr="00330300">
        <w:rPr>
          <w:rFonts w:cstheme="minorHAnsi"/>
          <w:sz w:val="24"/>
          <w:szCs w:val="24"/>
          <w:u w:val="single"/>
        </w:rPr>
        <w:t>discapacidad</w:t>
      </w:r>
      <w:r w:rsidR="00CD6E77" w:rsidRPr="00330300">
        <w:rPr>
          <w:rFonts w:cstheme="minorHAnsi"/>
          <w:sz w:val="24"/>
          <w:szCs w:val="24"/>
        </w:rPr>
        <w:t xml:space="preserve"> </w:t>
      </w:r>
      <w:r w:rsidR="00BD00A2" w:rsidRPr="00330300">
        <w:rPr>
          <w:rFonts w:cstheme="minorHAnsi"/>
          <w:sz w:val="24"/>
          <w:szCs w:val="24"/>
        </w:rPr>
        <w:t xml:space="preserve">o aquellos de pertenezcan a un grupo minoritario. </w:t>
      </w:r>
    </w:p>
    <w:p w14:paraId="4F7003F3" w14:textId="77777777" w:rsidR="002F08C1" w:rsidRPr="00330300" w:rsidRDefault="002F08C1" w:rsidP="00A5606C">
      <w:pPr>
        <w:jc w:val="both"/>
        <w:rPr>
          <w:rFonts w:cstheme="minorHAnsi"/>
          <w:sz w:val="24"/>
          <w:szCs w:val="24"/>
        </w:rPr>
      </w:pPr>
    </w:p>
    <w:p w14:paraId="3FF8EFC1" w14:textId="7FD9CE7C" w:rsidR="005561B2" w:rsidRPr="00330300" w:rsidRDefault="005E341E" w:rsidP="005561B2">
      <w:pPr>
        <w:pStyle w:val="Prrafodelista"/>
        <w:numPr>
          <w:ilvl w:val="0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330300">
        <w:rPr>
          <w:rFonts w:ascii="Rockwell" w:hAnsi="Rockwell"/>
          <w:b/>
          <w:bCs/>
          <w:sz w:val="24"/>
          <w:szCs w:val="24"/>
        </w:rPr>
        <w:t xml:space="preserve">Avances y desarrollo de la implementación de la Convención </w:t>
      </w:r>
      <w:r w:rsidR="003A5938" w:rsidRPr="00330300">
        <w:rPr>
          <w:rFonts w:ascii="Rockwell" w:hAnsi="Rockwell"/>
          <w:b/>
          <w:bCs/>
          <w:sz w:val="24"/>
          <w:szCs w:val="24"/>
        </w:rPr>
        <w:t>de los Derechos de las Personas con Discapacidad</w:t>
      </w:r>
    </w:p>
    <w:p w14:paraId="0A109967" w14:textId="780164F7" w:rsidR="00207F89" w:rsidRPr="00330300" w:rsidRDefault="00207F89" w:rsidP="003160FB">
      <w:pPr>
        <w:jc w:val="both"/>
        <w:rPr>
          <w:sz w:val="24"/>
          <w:szCs w:val="24"/>
        </w:rPr>
      </w:pPr>
      <w:r w:rsidRPr="00330300">
        <w:rPr>
          <w:sz w:val="24"/>
          <w:szCs w:val="24"/>
        </w:rPr>
        <w:t xml:space="preserve">En el último capítulo del Informe analizado, se dedica en exclusiva </w:t>
      </w:r>
      <w:r w:rsidR="00F37655" w:rsidRPr="00330300">
        <w:rPr>
          <w:sz w:val="24"/>
          <w:szCs w:val="24"/>
        </w:rPr>
        <w:t xml:space="preserve">a </w:t>
      </w:r>
      <w:r w:rsidR="00310E5C" w:rsidRPr="00330300">
        <w:rPr>
          <w:sz w:val="24"/>
          <w:szCs w:val="24"/>
        </w:rPr>
        <w:t>estudiar</w:t>
      </w:r>
      <w:r w:rsidR="00F37655" w:rsidRPr="00330300">
        <w:rPr>
          <w:sz w:val="24"/>
          <w:szCs w:val="24"/>
        </w:rPr>
        <w:t xml:space="preserve"> </w:t>
      </w:r>
      <w:r w:rsidR="00E430C0" w:rsidRPr="00330300">
        <w:rPr>
          <w:sz w:val="24"/>
          <w:szCs w:val="24"/>
        </w:rPr>
        <w:t>los avances en la</w:t>
      </w:r>
      <w:r w:rsidR="000E337E" w:rsidRPr="00330300">
        <w:rPr>
          <w:sz w:val="24"/>
          <w:szCs w:val="24"/>
        </w:rPr>
        <w:t xml:space="preserve"> implantación de la Convención de los Derechos de las Personas con Discapacidad</w:t>
      </w:r>
      <w:r w:rsidR="00310E5C" w:rsidRPr="00330300">
        <w:rPr>
          <w:sz w:val="24"/>
          <w:szCs w:val="24"/>
        </w:rPr>
        <w:t xml:space="preserve"> en las diferentes Naciones de la Unión E</w:t>
      </w:r>
      <w:r w:rsidR="003160FB" w:rsidRPr="00330300">
        <w:rPr>
          <w:sz w:val="24"/>
          <w:szCs w:val="24"/>
        </w:rPr>
        <w:t>uropea</w:t>
      </w:r>
    </w:p>
    <w:p w14:paraId="7D5B4935" w14:textId="17545B58" w:rsidR="000B29C0" w:rsidRDefault="00BE5613" w:rsidP="00471C0F">
      <w:pPr>
        <w:jc w:val="both"/>
        <w:rPr>
          <w:sz w:val="24"/>
          <w:szCs w:val="24"/>
        </w:rPr>
      </w:pPr>
      <w:r w:rsidRPr="00330300">
        <w:rPr>
          <w:sz w:val="24"/>
          <w:szCs w:val="24"/>
        </w:rPr>
        <w:lastRenderedPageBreak/>
        <w:t>En el inicio de este capítulo, se rec</w:t>
      </w:r>
      <w:r w:rsidR="00D124A4" w:rsidRPr="00330300">
        <w:rPr>
          <w:sz w:val="24"/>
          <w:szCs w:val="24"/>
        </w:rPr>
        <w:t>alca</w:t>
      </w:r>
      <w:r w:rsidR="006B49FD" w:rsidRPr="00330300">
        <w:rPr>
          <w:sz w:val="24"/>
          <w:szCs w:val="24"/>
        </w:rPr>
        <w:t xml:space="preserve"> que</w:t>
      </w:r>
      <w:r w:rsidRPr="00330300">
        <w:rPr>
          <w:sz w:val="24"/>
          <w:szCs w:val="24"/>
        </w:rPr>
        <w:t xml:space="preserve"> </w:t>
      </w:r>
      <w:r w:rsidR="006B49FD" w:rsidRPr="00330300">
        <w:rPr>
          <w:sz w:val="24"/>
          <w:szCs w:val="24"/>
        </w:rPr>
        <w:t>l</w:t>
      </w:r>
      <w:r w:rsidR="00471C0F" w:rsidRPr="00330300">
        <w:rPr>
          <w:sz w:val="24"/>
          <w:szCs w:val="24"/>
        </w:rPr>
        <w:t xml:space="preserve">a Comisión Europea ha puesto en marcha la nueva </w:t>
      </w:r>
      <w:r w:rsidR="00B7726B" w:rsidRPr="00330300">
        <w:rPr>
          <w:bCs/>
          <w:sz w:val="24"/>
          <w:szCs w:val="24"/>
        </w:rPr>
        <w:t>E</w:t>
      </w:r>
      <w:r w:rsidR="00471C0F" w:rsidRPr="00330300">
        <w:rPr>
          <w:bCs/>
          <w:sz w:val="24"/>
          <w:szCs w:val="24"/>
        </w:rPr>
        <w:t>strategia de la UE en materia de derechos de las personas con discapaci</w:t>
      </w:r>
      <w:r w:rsidR="00F40B53" w:rsidRPr="00330300">
        <w:rPr>
          <w:bCs/>
          <w:sz w:val="24"/>
          <w:szCs w:val="24"/>
        </w:rPr>
        <w:t xml:space="preserve">dad </w:t>
      </w:r>
      <w:r w:rsidR="00471C0F" w:rsidRPr="00330300">
        <w:rPr>
          <w:bCs/>
          <w:sz w:val="24"/>
          <w:szCs w:val="24"/>
        </w:rPr>
        <w:t>para el periodo 2021-2030</w:t>
      </w:r>
      <w:r w:rsidR="00471C0F" w:rsidRPr="00330300">
        <w:rPr>
          <w:sz w:val="24"/>
          <w:szCs w:val="24"/>
        </w:rPr>
        <w:t>.</w:t>
      </w:r>
      <w:r w:rsidR="00EC23CF" w:rsidRPr="00330300">
        <w:rPr>
          <w:sz w:val="24"/>
          <w:szCs w:val="24"/>
        </w:rPr>
        <w:t xml:space="preserve"> Así como que en el Reglamento de Disposiciones Comunes </w:t>
      </w:r>
      <w:r w:rsidR="00CB79AD" w:rsidRPr="00330300">
        <w:rPr>
          <w:sz w:val="24"/>
          <w:szCs w:val="24"/>
        </w:rPr>
        <w:t>se</w:t>
      </w:r>
      <w:r w:rsidR="00A748F9" w:rsidRPr="00330300">
        <w:rPr>
          <w:sz w:val="24"/>
          <w:szCs w:val="24"/>
        </w:rPr>
        <w:t xml:space="preserve"> han</w:t>
      </w:r>
      <w:r w:rsidR="00CB79AD" w:rsidRPr="00330300">
        <w:rPr>
          <w:sz w:val="24"/>
          <w:szCs w:val="24"/>
        </w:rPr>
        <w:t xml:space="preserve"> introdu</w:t>
      </w:r>
      <w:r w:rsidR="00A748F9" w:rsidRPr="00330300">
        <w:rPr>
          <w:sz w:val="24"/>
          <w:szCs w:val="24"/>
        </w:rPr>
        <w:t xml:space="preserve">cido </w:t>
      </w:r>
      <w:r w:rsidR="00CB79AD" w:rsidRPr="00330300">
        <w:rPr>
          <w:sz w:val="24"/>
          <w:szCs w:val="24"/>
        </w:rPr>
        <w:t xml:space="preserve">criterios estrictos para garantizar que </w:t>
      </w:r>
      <w:r w:rsidR="004A2F07" w:rsidRPr="00330300">
        <w:rPr>
          <w:sz w:val="24"/>
          <w:szCs w:val="24"/>
        </w:rPr>
        <w:t xml:space="preserve">la </w:t>
      </w:r>
      <w:r w:rsidR="004A2F07" w:rsidRPr="00330300">
        <w:rPr>
          <w:bCs/>
          <w:sz w:val="24"/>
          <w:szCs w:val="24"/>
        </w:rPr>
        <w:t>financiación de la UE vaya en sintonía con el respeto y cumplimiento de la Convención</w:t>
      </w:r>
      <w:r w:rsidR="006800DF" w:rsidRPr="00330300">
        <w:rPr>
          <w:bCs/>
          <w:sz w:val="24"/>
          <w:szCs w:val="24"/>
        </w:rPr>
        <w:t xml:space="preserve">. </w:t>
      </w:r>
      <w:r w:rsidR="00040065" w:rsidRPr="00330300">
        <w:rPr>
          <w:sz w:val="24"/>
          <w:szCs w:val="24"/>
        </w:rPr>
        <w:t>Todo esto</w:t>
      </w:r>
      <w:r w:rsidR="00FA4EFE" w:rsidRPr="00330300">
        <w:rPr>
          <w:sz w:val="24"/>
          <w:szCs w:val="24"/>
        </w:rPr>
        <w:t>,</w:t>
      </w:r>
      <w:r w:rsidR="00040065" w:rsidRPr="00330300">
        <w:rPr>
          <w:sz w:val="24"/>
          <w:szCs w:val="24"/>
        </w:rPr>
        <w:t xml:space="preserve"> para paliar </w:t>
      </w:r>
      <w:r w:rsidR="00747D8A" w:rsidRPr="00330300">
        <w:rPr>
          <w:sz w:val="24"/>
          <w:szCs w:val="24"/>
        </w:rPr>
        <w:t xml:space="preserve">las consecuencias negativas </w:t>
      </w:r>
      <w:r w:rsidR="00FA4EFE" w:rsidRPr="00330300">
        <w:rPr>
          <w:sz w:val="24"/>
          <w:szCs w:val="24"/>
        </w:rPr>
        <w:t>que han sufrido las</w:t>
      </w:r>
      <w:r w:rsidR="00A270C6" w:rsidRPr="00330300">
        <w:rPr>
          <w:sz w:val="24"/>
          <w:szCs w:val="24"/>
        </w:rPr>
        <w:t xml:space="preserve"> personas con discapacidad </w:t>
      </w:r>
      <w:r w:rsidR="00FA4EFE" w:rsidRPr="00330300">
        <w:rPr>
          <w:sz w:val="24"/>
          <w:szCs w:val="24"/>
        </w:rPr>
        <w:t>a raíz de la</w:t>
      </w:r>
      <w:r w:rsidR="00747D8A" w:rsidRPr="00330300">
        <w:rPr>
          <w:sz w:val="24"/>
          <w:szCs w:val="24"/>
        </w:rPr>
        <w:t xml:space="preserve"> pandemia producida por el COVID-19</w:t>
      </w:r>
      <w:r w:rsidR="00A2430F" w:rsidRPr="00330300">
        <w:rPr>
          <w:sz w:val="24"/>
          <w:szCs w:val="24"/>
        </w:rPr>
        <w:t>, sobre todo, por el</w:t>
      </w:r>
      <w:r w:rsidR="00435E60" w:rsidRPr="00330300">
        <w:rPr>
          <w:sz w:val="24"/>
          <w:szCs w:val="24"/>
        </w:rPr>
        <w:t xml:space="preserve"> aumento de denuncias de malos tratos en instituciones</w:t>
      </w:r>
      <w:r w:rsidR="00A2430F" w:rsidRPr="00330300">
        <w:rPr>
          <w:sz w:val="24"/>
          <w:szCs w:val="24"/>
        </w:rPr>
        <w:t>.</w:t>
      </w:r>
      <w:r w:rsidR="00FA4EFE" w:rsidRPr="00330300">
        <w:rPr>
          <w:sz w:val="24"/>
          <w:szCs w:val="24"/>
        </w:rPr>
        <w:t xml:space="preserve"> </w:t>
      </w:r>
    </w:p>
    <w:p w14:paraId="1A40FF2F" w14:textId="77777777" w:rsidR="002F08C1" w:rsidRPr="00330300" w:rsidRDefault="002F08C1" w:rsidP="00471C0F">
      <w:pPr>
        <w:jc w:val="both"/>
        <w:rPr>
          <w:bCs/>
          <w:sz w:val="24"/>
          <w:szCs w:val="24"/>
        </w:rPr>
      </w:pPr>
    </w:p>
    <w:p w14:paraId="6D524799" w14:textId="0333C3A7" w:rsidR="00FA4EFE" w:rsidRPr="00330300" w:rsidRDefault="002437EC" w:rsidP="002437EC">
      <w:pPr>
        <w:pStyle w:val="Prrafodelista"/>
        <w:numPr>
          <w:ilvl w:val="1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330300">
        <w:rPr>
          <w:rFonts w:ascii="Rockwell" w:hAnsi="Rockwell"/>
          <w:b/>
          <w:bCs/>
          <w:sz w:val="24"/>
          <w:szCs w:val="24"/>
        </w:rPr>
        <w:t xml:space="preserve">Nueva estrategia </w:t>
      </w:r>
      <w:r w:rsidR="00080A61" w:rsidRPr="00330300">
        <w:rPr>
          <w:rFonts w:ascii="Rockwell" w:hAnsi="Rockwell"/>
          <w:b/>
          <w:bCs/>
          <w:sz w:val="24"/>
          <w:szCs w:val="24"/>
        </w:rPr>
        <w:t>sobre la discapacidad</w:t>
      </w:r>
    </w:p>
    <w:p w14:paraId="165F1CDE" w14:textId="68E14299" w:rsidR="00075B64" w:rsidRPr="00330300" w:rsidRDefault="00871A6F" w:rsidP="00075B64">
      <w:pPr>
        <w:jc w:val="both"/>
        <w:rPr>
          <w:sz w:val="24"/>
          <w:szCs w:val="24"/>
        </w:rPr>
      </w:pPr>
      <w:r w:rsidRPr="00330300">
        <w:rPr>
          <w:sz w:val="24"/>
          <w:szCs w:val="24"/>
        </w:rPr>
        <w:t xml:space="preserve">En la primera parte de este capítulo </w:t>
      </w:r>
      <w:r w:rsidR="007D1CA8" w:rsidRPr="00330300">
        <w:rPr>
          <w:sz w:val="24"/>
          <w:szCs w:val="24"/>
        </w:rPr>
        <w:t>nos expone l</w:t>
      </w:r>
      <w:r w:rsidR="00B11B5D" w:rsidRPr="00330300">
        <w:rPr>
          <w:sz w:val="24"/>
          <w:szCs w:val="24"/>
        </w:rPr>
        <w:t xml:space="preserve">os objetivos de la </w:t>
      </w:r>
      <w:r w:rsidR="007D1CA8" w:rsidRPr="00330300">
        <w:rPr>
          <w:bCs/>
          <w:sz w:val="24"/>
          <w:szCs w:val="24"/>
        </w:rPr>
        <w:t>Nueva Estrategia de Discapacidad 2021-2030</w:t>
      </w:r>
      <w:r w:rsidR="00B11B5D" w:rsidRPr="00330300">
        <w:rPr>
          <w:sz w:val="24"/>
          <w:szCs w:val="24"/>
        </w:rPr>
        <w:t xml:space="preserve"> desarrollada por la Unión Europea. </w:t>
      </w:r>
      <w:r w:rsidR="006A446A" w:rsidRPr="00330300">
        <w:rPr>
          <w:sz w:val="24"/>
          <w:szCs w:val="24"/>
        </w:rPr>
        <w:t>Entre ellos</w:t>
      </w:r>
      <w:r w:rsidR="00FE2F30" w:rsidRPr="00330300">
        <w:rPr>
          <w:sz w:val="24"/>
          <w:szCs w:val="24"/>
        </w:rPr>
        <w:t>,</w:t>
      </w:r>
      <w:r w:rsidR="006A446A" w:rsidRPr="00330300">
        <w:rPr>
          <w:sz w:val="24"/>
          <w:szCs w:val="24"/>
        </w:rPr>
        <w:t xml:space="preserve"> está la creación de un nuevo </w:t>
      </w:r>
      <w:r w:rsidR="00D44364" w:rsidRPr="00330300">
        <w:rPr>
          <w:bCs/>
          <w:sz w:val="24"/>
          <w:szCs w:val="24"/>
        </w:rPr>
        <w:t>C</w:t>
      </w:r>
      <w:r w:rsidR="006A446A" w:rsidRPr="00330300">
        <w:rPr>
          <w:bCs/>
          <w:sz w:val="24"/>
          <w:szCs w:val="24"/>
        </w:rPr>
        <w:t xml:space="preserve">entro </w:t>
      </w:r>
      <w:r w:rsidR="00D44364" w:rsidRPr="00330300">
        <w:rPr>
          <w:bCs/>
          <w:sz w:val="24"/>
          <w:szCs w:val="24"/>
        </w:rPr>
        <w:t>E</w:t>
      </w:r>
      <w:r w:rsidR="006A446A" w:rsidRPr="00330300">
        <w:rPr>
          <w:bCs/>
          <w:sz w:val="24"/>
          <w:szCs w:val="24"/>
        </w:rPr>
        <w:t>urop</w:t>
      </w:r>
      <w:r w:rsidR="00FE2F30" w:rsidRPr="00330300">
        <w:rPr>
          <w:bCs/>
          <w:sz w:val="24"/>
          <w:szCs w:val="24"/>
        </w:rPr>
        <w:t>e</w:t>
      </w:r>
      <w:r w:rsidR="006A446A" w:rsidRPr="00330300">
        <w:rPr>
          <w:bCs/>
          <w:sz w:val="24"/>
          <w:szCs w:val="24"/>
        </w:rPr>
        <w:t>o de</w:t>
      </w:r>
      <w:r w:rsidR="00D44364" w:rsidRPr="00330300">
        <w:rPr>
          <w:bCs/>
          <w:sz w:val="24"/>
          <w:szCs w:val="24"/>
        </w:rPr>
        <w:t xml:space="preserve"> R</w:t>
      </w:r>
      <w:r w:rsidR="006A446A" w:rsidRPr="00330300">
        <w:rPr>
          <w:bCs/>
          <w:sz w:val="24"/>
          <w:szCs w:val="24"/>
        </w:rPr>
        <w:t xml:space="preserve">ecursos sobre </w:t>
      </w:r>
      <w:r w:rsidR="00D44364" w:rsidRPr="00330300">
        <w:rPr>
          <w:bCs/>
          <w:sz w:val="24"/>
          <w:szCs w:val="24"/>
        </w:rPr>
        <w:t>A</w:t>
      </w:r>
      <w:r w:rsidR="006A446A" w:rsidRPr="00330300">
        <w:rPr>
          <w:bCs/>
          <w:sz w:val="24"/>
          <w:szCs w:val="24"/>
        </w:rPr>
        <w:t>ccesibilidad</w:t>
      </w:r>
      <w:r w:rsidR="00FE2F30" w:rsidRPr="00330300">
        <w:rPr>
          <w:sz w:val="24"/>
          <w:szCs w:val="24"/>
        </w:rPr>
        <w:t>,</w:t>
      </w:r>
      <w:r w:rsidR="00F67210" w:rsidRPr="00330300">
        <w:rPr>
          <w:sz w:val="24"/>
          <w:szCs w:val="24"/>
        </w:rPr>
        <w:t xml:space="preserve"> destinado a desarrollar herramientas, </w:t>
      </w:r>
      <w:r w:rsidR="005A3AB7" w:rsidRPr="00330300">
        <w:rPr>
          <w:sz w:val="24"/>
          <w:szCs w:val="24"/>
        </w:rPr>
        <w:t xml:space="preserve">normas y políticas en torno a </w:t>
      </w:r>
      <w:r w:rsidR="00EE680E" w:rsidRPr="00330300">
        <w:rPr>
          <w:sz w:val="24"/>
          <w:szCs w:val="24"/>
        </w:rPr>
        <w:t xml:space="preserve">la accesibilidad a nivel europeo y estatal de los miembros de la UE. </w:t>
      </w:r>
      <w:r w:rsidR="00E4285D" w:rsidRPr="00330300">
        <w:rPr>
          <w:sz w:val="24"/>
          <w:szCs w:val="24"/>
        </w:rPr>
        <w:t xml:space="preserve">Asimismo, desarrollar la </w:t>
      </w:r>
      <w:r w:rsidR="00E4285D" w:rsidRPr="00330300">
        <w:rPr>
          <w:bCs/>
          <w:sz w:val="24"/>
          <w:szCs w:val="24"/>
        </w:rPr>
        <w:t>Tarjeta Europea de la Discapacidad</w:t>
      </w:r>
      <w:r w:rsidR="00E4285D" w:rsidRPr="00330300">
        <w:rPr>
          <w:sz w:val="24"/>
          <w:szCs w:val="24"/>
        </w:rPr>
        <w:t xml:space="preserve">, </w:t>
      </w:r>
      <w:r w:rsidR="00075B64" w:rsidRPr="00330300">
        <w:rPr>
          <w:sz w:val="24"/>
          <w:szCs w:val="24"/>
        </w:rPr>
        <w:t xml:space="preserve">nuevas orientaciones para la </w:t>
      </w:r>
      <w:r w:rsidR="00075B64" w:rsidRPr="00330300">
        <w:rPr>
          <w:bCs/>
          <w:sz w:val="24"/>
          <w:szCs w:val="24"/>
        </w:rPr>
        <w:t>desinstitucionalización</w:t>
      </w:r>
      <w:r w:rsidR="00075B64" w:rsidRPr="00330300">
        <w:rPr>
          <w:sz w:val="24"/>
          <w:szCs w:val="24"/>
        </w:rPr>
        <w:t xml:space="preserve">, </w:t>
      </w:r>
      <w:r w:rsidR="00495951" w:rsidRPr="00330300">
        <w:rPr>
          <w:sz w:val="24"/>
          <w:szCs w:val="24"/>
        </w:rPr>
        <w:t>una</w:t>
      </w:r>
      <w:r w:rsidR="00495951" w:rsidRPr="00330300">
        <w:rPr>
          <w:bCs/>
          <w:sz w:val="24"/>
          <w:szCs w:val="24"/>
        </w:rPr>
        <w:t xml:space="preserve"> Guía de buenas prácticas electorales</w:t>
      </w:r>
      <w:r w:rsidR="00495951" w:rsidRPr="00330300">
        <w:rPr>
          <w:sz w:val="24"/>
          <w:szCs w:val="24"/>
        </w:rPr>
        <w:t xml:space="preserve"> </w:t>
      </w:r>
      <w:r w:rsidR="00A67194" w:rsidRPr="00330300">
        <w:rPr>
          <w:sz w:val="24"/>
          <w:szCs w:val="24"/>
        </w:rPr>
        <w:t xml:space="preserve">que aborda la participación de las personas con discapacidad en el proceso electoral, </w:t>
      </w:r>
      <w:r w:rsidR="00EC5F5C" w:rsidRPr="00330300">
        <w:rPr>
          <w:sz w:val="24"/>
          <w:szCs w:val="24"/>
        </w:rPr>
        <w:t xml:space="preserve">además de un </w:t>
      </w:r>
      <w:r w:rsidR="00360BC7" w:rsidRPr="00330300">
        <w:rPr>
          <w:bCs/>
          <w:sz w:val="24"/>
          <w:szCs w:val="24"/>
        </w:rPr>
        <w:t>M</w:t>
      </w:r>
      <w:r w:rsidR="00EC5F5C" w:rsidRPr="00330300">
        <w:rPr>
          <w:bCs/>
          <w:sz w:val="24"/>
          <w:szCs w:val="24"/>
        </w:rPr>
        <w:t xml:space="preserve">arco de </w:t>
      </w:r>
      <w:r w:rsidR="00360BC7" w:rsidRPr="00330300">
        <w:rPr>
          <w:bCs/>
          <w:sz w:val="24"/>
          <w:szCs w:val="24"/>
        </w:rPr>
        <w:t>S</w:t>
      </w:r>
      <w:r w:rsidR="00EC5F5C" w:rsidRPr="00330300">
        <w:rPr>
          <w:bCs/>
          <w:sz w:val="24"/>
          <w:szCs w:val="24"/>
        </w:rPr>
        <w:t>eguimiento con indicadores de discapacidad</w:t>
      </w:r>
      <w:r w:rsidR="00EC5F5C" w:rsidRPr="00330300">
        <w:rPr>
          <w:sz w:val="24"/>
          <w:szCs w:val="24"/>
        </w:rPr>
        <w:t xml:space="preserve"> y una </w:t>
      </w:r>
      <w:r w:rsidR="00360BC7" w:rsidRPr="00330300">
        <w:rPr>
          <w:bCs/>
          <w:sz w:val="24"/>
          <w:szCs w:val="24"/>
        </w:rPr>
        <w:t>E</w:t>
      </w:r>
      <w:r w:rsidR="00EC5F5C" w:rsidRPr="00330300">
        <w:rPr>
          <w:bCs/>
          <w:sz w:val="24"/>
          <w:szCs w:val="24"/>
        </w:rPr>
        <w:t>strategia de recogida de datos</w:t>
      </w:r>
      <w:r w:rsidR="00EC5F5C" w:rsidRPr="00330300">
        <w:rPr>
          <w:sz w:val="24"/>
          <w:szCs w:val="24"/>
        </w:rPr>
        <w:t>.</w:t>
      </w:r>
    </w:p>
    <w:p w14:paraId="36320CA5" w14:textId="4A8A7B1A" w:rsidR="00B41FED" w:rsidRDefault="00BF6989" w:rsidP="00471C0F">
      <w:pPr>
        <w:jc w:val="both"/>
        <w:rPr>
          <w:sz w:val="24"/>
          <w:szCs w:val="24"/>
        </w:rPr>
      </w:pPr>
      <w:r w:rsidRPr="00330300">
        <w:rPr>
          <w:sz w:val="24"/>
          <w:szCs w:val="24"/>
        </w:rPr>
        <w:t>En el Informe se recoge el buen acogimiento por parte de ONGs, plataformas</w:t>
      </w:r>
      <w:r w:rsidR="002D3465" w:rsidRPr="00330300">
        <w:rPr>
          <w:sz w:val="24"/>
          <w:szCs w:val="24"/>
        </w:rPr>
        <w:t xml:space="preserve"> y organizaciones de representación de las </w:t>
      </w:r>
      <w:r w:rsidR="002D3465" w:rsidRPr="00330300">
        <w:rPr>
          <w:sz w:val="24"/>
          <w:szCs w:val="24"/>
          <w:u w:val="single"/>
        </w:rPr>
        <w:t>personas con discapacidad</w:t>
      </w:r>
      <w:r w:rsidR="002D3465" w:rsidRPr="00330300">
        <w:rPr>
          <w:sz w:val="24"/>
          <w:szCs w:val="24"/>
        </w:rPr>
        <w:t xml:space="preserve">. </w:t>
      </w:r>
      <w:r w:rsidR="00A177C6" w:rsidRPr="00330300">
        <w:rPr>
          <w:sz w:val="24"/>
          <w:szCs w:val="24"/>
        </w:rPr>
        <w:t>Sin embargo, subrayan: “</w:t>
      </w:r>
      <w:r w:rsidR="00A83E24" w:rsidRPr="00330300">
        <w:rPr>
          <w:sz w:val="24"/>
          <w:szCs w:val="24"/>
        </w:rPr>
        <w:t>Se ha pedido que el enfoque y las propuestas legislativas sean más ambiciosas</w:t>
      </w:r>
      <w:r w:rsidR="009754DF" w:rsidRPr="00330300">
        <w:rPr>
          <w:sz w:val="24"/>
          <w:szCs w:val="24"/>
        </w:rPr>
        <w:t>. Señalan que no se han abordado algunos temas y que hay términos que no están bien definidos</w:t>
      </w:r>
      <w:r w:rsidR="00453791" w:rsidRPr="00330300">
        <w:rPr>
          <w:sz w:val="24"/>
          <w:szCs w:val="24"/>
        </w:rPr>
        <w:t>.” (p.240)</w:t>
      </w:r>
      <w:r w:rsidR="002F08C1">
        <w:rPr>
          <w:sz w:val="24"/>
          <w:szCs w:val="24"/>
        </w:rPr>
        <w:t xml:space="preserve">. </w:t>
      </w:r>
    </w:p>
    <w:p w14:paraId="3DA163CB" w14:textId="77777777" w:rsidR="002F08C1" w:rsidRPr="00330300" w:rsidRDefault="002F08C1" w:rsidP="00471C0F">
      <w:pPr>
        <w:jc w:val="both"/>
        <w:rPr>
          <w:sz w:val="24"/>
          <w:szCs w:val="24"/>
        </w:rPr>
      </w:pPr>
    </w:p>
    <w:p w14:paraId="74A63873" w14:textId="25094FB7" w:rsidR="009E4731" w:rsidRPr="002F08C1" w:rsidRDefault="00CA24F1" w:rsidP="00582942">
      <w:pPr>
        <w:pStyle w:val="Prrafodelista"/>
        <w:numPr>
          <w:ilvl w:val="1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2F08C1">
        <w:rPr>
          <w:rFonts w:ascii="Rockwell" w:hAnsi="Rockwell"/>
          <w:b/>
          <w:bCs/>
          <w:sz w:val="24"/>
          <w:szCs w:val="24"/>
        </w:rPr>
        <w:t xml:space="preserve">El </w:t>
      </w:r>
      <w:r w:rsidR="00D20632" w:rsidRPr="002F08C1">
        <w:rPr>
          <w:rFonts w:ascii="Rockwell" w:hAnsi="Rockwell"/>
          <w:b/>
          <w:bCs/>
          <w:sz w:val="24"/>
          <w:szCs w:val="24"/>
        </w:rPr>
        <w:t>N</w:t>
      </w:r>
      <w:r w:rsidRPr="002F08C1">
        <w:rPr>
          <w:rFonts w:ascii="Rockwell" w:hAnsi="Rockwell"/>
          <w:b/>
          <w:bCs/>
          <w:sz w:val="24"/>
          <w:szCs w:val="24"/>
        </w:rPr>
        <w:t xml:space="preserve">uevo </w:t>
      </w:r>
      <w:r w:rsidR="00D20632" w:rsidRPr="002F08C1">
        <w:rPr>
          <w:rFonts w:ascii="Rockwell" w:hAnsi="Rockwell"/>
          <w:b/>
          <w:bCs/>
          <w:sz w:val="24"/>
          <w:szCs w:val="24"/>
        </w:rPr>
        <w:t>R</w:t>
      </w:r>
      <w:r w:rsidRPr="002F08C1">
        <w:rPr>
          <w:rFonts w:ascii="Rockwell" w:hAnsi="Rockwell"/>
          <w:b/>
          <w:bCs/>
          <w:sz w:val="24"/>
          <w:szCs w:val="24"/>
        </w:rPr>
        <w:t xml:space="preserve">eglamento de </w:t>
      </w:r>
      <w:r w:rsidR="00D20632" w:rsidRPr="002F08C1">
        <w:rPr>
          <w:rFonts w:ascii="Rockwell" w:hAnsi="Rockwell"/>
          <w:b/>
          <w:bCs/>
          <w:sz w:val="24"/>
          <w:szCs w:val="24"/>
        </w:rPr>
        <w:t>D</w:t>
      </w:r>
      <w:r w:rsidRPr="002F08C1">
        <w:rPr>
          <w:rFonts w:ascii="Rockwell" w:hAnsi="Rockwell"/>
          <w:b/>
          <w:bCs/>
          <w:sz w:val="24"/>
          <w:szCs w:val="24"/>
        </w:rPr>
        <w:t xml:space="preserve">isposiciones </w:t>
      </w:r>
      <w:r w:rsidR="00D20632" w:rsidRPr="002F08C1">
        <w:rPr>
          <w:rFonts w:ascii="Rockwell" w:hAnsi="Rockwell"/>
          <w:b/>
          <w:bCs/>
          <w:sz w:val="24"/>
          <w:szCs w:val="24"/>
        </w:rPr>
        <w:t>C</w:t>
      </w:r>
      <w:r w:rsidRPr="002F08C1">
        <w:rPr>
          <w:rFonts w:ascii="Rockwell" w:hAnsi="Rockwell"/>
          <w:b/>
          <w:bCs/>
          <w:sz w:val="24"/>
          <w:szCs w:val="24"/>
        </w:rPr>
        <w:t xml:space="preserve">omunes </w:t>
      </w:r>
      <w:r w:rsidR="00D20632" w:rsidRPr="002F08C1">
        <w:rPr>
          <w:rFonts w:ascii="Rockwell" w:hAnsi="Rockwell"/>
          <w:b/>
          <w:bCs/>
          <w:sz w:val="24"/>
          <w:szCs w:val="24"/>
        </w:rPr>
        <w:t>sobre</w:t>
      </w:r>
      <w:r w:rsidRPr="002F08C1">
        <w:rPr>
          <w:rFonts w:ascii="Rockwell" w:hAnsi="Rockwell"/>
          <w:b/>
          <w:bCs/>
          <w:sz w:val="24"/>
          <w:szCs w:val="24"/>
        </w:rPr>
        <w:t xml:space="preserve"> la financiación de la UE </w:t>
      </w:r>
      <w:r w:rsidR="00D20632" w:rsidRPr="002F08C1">
        <w:rPr>
          <w:rFonts w:ascii="Rockwell" w:hAnsi="Rockwell"/>
          <w:b/>
          <w:bCs/>
          <w:sz w:val="24"/>
          <w:szCs w:val="24"/>
        </w:rPr>
        <w:t xml:space="preserve">vinculado </w:t>
      </w:r>
      <w:r w:rsidRPr="002F08C1">
        <w:rPr>
          <w:rFonts w:ascii="Rockwell" w:hAnsi="Rockwell"/>
          <w:b/>
          <w:bCs/>
          <w:sz w:val="24"/>
          <w:szCs w:val="24"/>
        </w:rPr>
        <w:t>al cumplimiento de la CDPD</w:t>
      </w:r>
    </w:p>
    <w:p w14:paraId="25D9376F" w14:textId="737E4A4B" w:rsidR="00832D26" w:rsidRDefault="00832D26" w:rsidP="00832D26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 xml:space="preserve">El </w:t>
      </w:r>
      <w:r w:rsidRPr="002F08C1">
        <w:rPr>
          <w:bCs/>
          <w:sz w:val="24"/>
          <w:szCs w:val="24"/>
        </w:rPr>
        <w:t>Reglamento de Disposiciones Comunes</w:t>
      </w:r>
      <w:r w:rsidRPr="002F08C1">
        <w:rPr>
          <w:sz w:val="24"/>
          <w:szCs w:val="24"/>
        </w:rPr>
        <w:t xml:space="preserve"> contiene normas aplicables a ocho fondos de la UE: el Fondo Europeo de Desarrollo Regional; el Fondo Social Europeo Plus; el Fondo de Cohesión; el Fondo de Transición Justa; el Fondo Europeo Marítimo, de Pesca y de Acuicultura; el Fondo de Asilo, Migración e Integración; el Fondo de Seguridad Interior; y el Instrumento de Apoyo Financiero a la Gestión de Fronteras y a la Política de Visados. </w:t>
      </w:r>
      <w:r w:rsidR="00682522" w:rsidRPr="002F08C1">
        <w:rPr>
          <w:bCs/>
          <w:sz w:val="24"/>
          <w:szCs w:val="24"/>
        </w:rPr>
        <w:t xml:space="preserve">La financiación </w:t>
      </w:r>
      <w:r w:rsidR="00444E59" w:rsidRPr="002F08C1">
        <w:rPr>
          <w:bCs/>
          <w:sz w:val="24"/>
          <w:szCs w:val="24"/>
        </w:rPr>
        <w:t>gestionada por este Reglamento se ha vinculado explícitamente con el cumplimiento de la CDPD</w:t>
      </w:r>
      <w:r w:rsidR="009850C0" w:rsidRPr="002F08C1">
        <w:rPr>
          <w:sz w:val="24"/>
          <w:szCs w:val="24"/>
        </w:rPr>
        <w:t xml:space="preserve">. Esto implica </w:t>
      </w:r>
      <w:r w:rsidR="008A105F" w:rsidRPr="002F08C1">
        <w:rPr>
          <w:sz w:val="24"/>
          <w:szCs w:val="24"/>
        </w:rPr>
        <w:t xml:space="preserve">y exige a los Estados </w:t>
      </w:r>
      <w:r w:rsidR="0050744E" w:rsidRPr="002F08C1">
        <w:rPr>
          <w:sz w:val="24"/>
          <w:szCs w:val="24"/>
        </w:rPr>
        <w:t>M</w:t>
      </w:r>
      <w:r w:rsidR="008A105F" w:rsidRPr="002F08C1">
        <w:rPr>
          <w:sz w:val="24"/>
          <w:szCs w:val="24"/>
        </w:rPr>
        <w:t xml:space="preserve">iembros </w:t>
      </w:r>
      <w:r w:rsidR="00482A14" w:rsidRPr="002F08C1">
        <w:rPr>
          <w:sz w:val="24"/>
          <w:szCs w:val="24"/>
        </w:rPr>
        <w:t>a</w:t>
      </w:r>
      <w:r w:rsidR="008A105F" w:rsidRPr="002F08C1">
        <w:rPr>
          <w:sz w:val="24"/>
          <w:szCs w:val="24"/>
        </w:rPr>
        <w:t xml:space="preserve"> </w:t>
      </w:r>
      <w:r w:rsidR="008A105F" w:rsidRPr="002F08C1">
        <w:rPr>
          <w:bCs/>
          <w:sz w:val="24"/>
          <w:szCs w:val="24"/>
        </w:rPr>
        <w:t xml:space="preserve">establecer mecanismos </w:t>
      </w:r>
      <w:r w:rsidR="003C0C9C" w:rsidRPr="002F08C1">
        <w:rPr>
          <w:bCs/>
          <w:sz w:val="24"/>
          <w:szCs w:val="24"/>
        </w:rPr>
        <w:t>que garanticen una accesibilidad</w:t>
      </w:r>
      <w:r w:rsidR="003C0C9C" w:rsidRPr="002F08C1">
        <w:rPr>
          <w:sz w:val="24"/>
          <w:szCs w:val="24"/>
        </w:rPr>
        <w:t xml:space="preserve"> </w:t>
      </w:r>
      <w:r w:rsidR="003C0C9C" w:rsidRPr="002F08C1">
        <w:rPr>
          <w:bCs/>
          <w:sz w:val="24"/>
          <w:szCs w:val="24"/>
        </w:rPr>
        <w:t xml:space="preserve">universal </w:t>
      </w:r>
      <w:r w:rsidR="003C0C9C" w:rsidRPr="002F08C1">
        <w:rPr>
          <w:sz w:val="24"/>
          <w:szCs w:val="24"/>
        </w:rPr>
        <w:t>y que esto est</w:t>
      </w:r>
      <w:r w:rsidR="00A81FCA" w:rsidRPr="002F08C1">
        <w:rPr>
          <w:sz w:val="24"/>
          <w:szCs w:val="24"/>
        </w:rPr>
        <w:t>é</w:t>
      </w:r>
      <w:r w:rsidR="003C0C9C" w:rsidRPr="002F08C1">
        <w:rPr>
          <w:sz w:val="24"/>
          <w:szCs w:val="24"/>
        </w:rPr>
        <w:t xml:space="preserve"> explicitado </w:t>
      </w:r>
      <w:r w:rsidR="0050744E" w:rsidRPr="002F08C1">
        <w:rPr>
          <w:sz w:val="24"/>
          <w:szCs w:val="24"/>
        </w:rPr>
        <w:t>en la preparación y la ejecución de los programas.</w:t>
      </w:r>
      <w:r w:rsidR="00906CF5" w:rsidRPr="002F08C1">
        <w:rPr>
          <w:sz w:val="24"/>
          <w:szCs w:val="24"/>
        </w:rPr>
        <w:t xml:space="preserve"> También exige </w:t>
      </w:r>
      <w:r w:rsidR="00906CF5" w:rsidRPr="002F08C1">
        <w:rPr>
          <w:bCs/>
          <w:sz w:val="24"/>
          <w:szCs w:val="24"/>
        </w:rPr>
        <w:t>la participación de las organizaciones de personas con discapacidad en todo el ciclo de financiación</w:t>
      </w:r>
      <w:r w:rsidR="00906CF5" w:rsidRPr="002F08C1">
        <w:rPr>
          <w:sz w:val="24"/>
          <w:szCs w:val="24"/>
        </w:rPr>
        <w:t>, así como la implementación y la aplicación de la CDPD.</w:t>
      </w:r>
    </w:p>
    <w:p w14:paraId="4EF5207F" w14:textId="77777777" w:rsidR="002F08C1" w:rsidRPr="002F08C1" w:rsidRDefault="002F08C1" w:rsidP="00832D26">
      <w:pPr>
        <w:jc w:val="both"/>
        <w:rPr>
          <w:sz w:val="24"/>
          <w:szCs w:val="24"/>
        </w:rPr>
      </w:pPr>
    </w:p>
    <w:p w14:paraId="5F8DEB5E" w14:textId="14FBC3A8" w:rsidR="001136BE" w:rsidRPr="002F08C1" w:rsidRDefault="00B465DC" w:rsidP="000749EF">
      <w:pPr>
        <w:pStyle w:val="Prrafodelista"/>
        <w:numPr>
          <w:ilvl w:val="1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2F08C1">
        <w:rPr>
          <w:rFonts w:ascii="Rockwell" w:hAnsi="Rockwell"/>
          <w:b/>
          <w:bCs/>
          <w:sz w:val="24"/>
          <w:szCs w:val="24"/>
        </w:rPr>
        <w:lastRenderedPageBreak/>
        <w:t>Refuerzo de los derechos de los pasajeros de ferrocarril para las personas con discapacidad</w:t>
      </w:r>
    </w:p>
    <w:p w14:paraId="221E3C16" w14:textId="2CEC8EB7" w:rsidR="0004149D" w:rsidRDefault="00AE309D" w:rsidP="0004149D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>También se refleja en el Reporte los cam</w:t>
      </w:r>
      <w:r w:rsidR="00C6063A" w:rsidRPr="002F08C1">
        <w:rPr>
          <w:sz w:val="24"/>
          <w:szCs w:val="24"/>
        </w:rPr>
        <w:t>b</w:t>
      </w:r>
      <w:r w:rsidRPr="002F08C1">
        <w:rPr>
          <w:sz w:val="24"/>
          <w:szCs w:val="24"/>
        </w:rPr>
        <w:t xml:space="preserve">ios </w:t>
      </w:r>
      <w:r w:rsidR="00C6063A" w:rsidRPr="002F08C1">
        <w:rPr>
          <w:sz w:val="24"/>
          <w:szCs w:val="24"/>
        </w:rPr>
        <w:t xml:space="preserve">de los </w:t>
      </w:r>
      <w:r w:rsidR="00C6063A" w:rsidRPr="002F08C1">
        <w:rPr>
          <w:bCs/>
          <w:sz w:val="24"/>
          <w:szCs w:val="24"/>
        </w:rPr>
        <w:t>derechos de los pasajeros de ferrocarril</w:t>
      </w:r>
      <w:r w:rsidR="00C6063A" w:rsidRPr="002F08C1">
        <w:rPr>
          <w:sz w:val="24"/>
          <w:szCs w:val="24"/>
        </w:rPr>
        <w:t xml:space="preserve">, </w:t>
      </w:r>
      <w:r w:rsidR="00610D58" w:rsidRPr="002F08C1">
        <w:rPr>
          <w:sz w:val="24"/>
          <w:szCs w:val="24"/>
        </w:rPr>
        <w:t>aumentándolos</w:t>
      </w:r>
      <w:r w:rsidR="00C6063A" w:rsidRPr="002F08C1">
        <w:rPr>
          <w:sz w:val="24"/>
          <w:szCs w:val="24"/>
        </w:rPr>
        <w:t xml:space="preserve"> y </w:t>
      </w:r>
      <w:r w:rsidR="00610D58" w:rsidRPr="002F08C1">
        <w:rPr>
          <w:sz w:val="24"/>
          <w:szCs w:val="24"/>
        </w:rPr>
        <w:t>haciéndolos</w:t>
      </w:r>
      <w:r w:rsidR="00C6063A" w:rsidRPr="002F08C1">
        <w:rPr>
          <w:sz w:val="24"/>
          <w:szCs w:val="24"/>
        </w:rPr>
        <w:t xml:space="preserve"> más fuertes</w:t>
      </w:r>
      <w:r w:rsidR="00610D58" w:rsidRPr="002F08C1">
        <w:rPr>
          <w:sz w:val="24"/>
          <w:szCs w:val="24"/>
        </w:rPr>
        <w:t xml:space="preserve">. Dentro de estos cambios se incluye una </w:t>
      </w:r>
      <w:r w:rsidR="00D25616" w:rsidRPr="002F08C1">
        <w:rPr>
          <w:sz w:val="24"/>
          <w:szCs w:val="24"/>
        </w:rPr>
        <w:t>cláusula</w:t>
      </w:r>
      <w:r w:rsidR="0024363E" w:rsidRPr="002F08C1">
        <w:rPr>
          <w:sz w:val="24"/>
          <w:szCs w:val="24"/>
        </w:rPr>
        <w:t xml:space="preserve"> de </w:t>
      </w:r>
      <w:r w:rsidR="00EC4D0F" w:rsidRPr="002F08C1">
        <w:rPr>
          <w:sz w:val="24"/>
          <w:szCs w:val="24"/>
        </w:rPr>
        <w:t>no discriminación por discapacidad</w:t>
      </w:r>
      <w:r w:rsidR="00D25616" w:rsidRPr="002F08C1">
        <w:rPr>
          <w:sz w:val="24"/>
          <w:szCs w:val="24"/>
        </w:rPr>
        <w:t xml:space="preserve">. Por esto, </w:t>
      </w:r>
      <w:r w:rsidR="0019639A" w:rsidRPr="002F08C1">
        <w:rPr>
          <w:sz w:val="24"/>
          <w:szCs w:val="24"/>
        </w:rPr>
        <w:t xml:space="preserve">la información en referencia a trenes y horarios, así como otro tipo de información, </w:t>
      </w:r>
      <w:r w:rsidR="009B1D98" w:rsidRPr="002F08C1">
        <w:rPr>
          <w:sz w:val="24"/>
          <w:szCs w:val="24"/>
        </w:rPr>
        <w:t xml:space="preserve">debe estar en un </w:t>
      </w:r>
      <w:r w:rsidR="009B1D98" w:rsidRPr="002F08C1">
        <w:rPr>
          <w:bCs/>
          <w:sz w:val="24"/>
          <w:szCs w:val="24"/>
        </w:rPr>
        <w:t xml:space="preserve">formato accesible y el personal debe recibir </w:t>
      </w:r>
      <w:r w:rsidR="00A90440" w:rsidRPr="002F08C1">
        <w:rPr>
          <w:bCs/>
          <w:sz w:val="24"/>
          <w:szCs w:val="24"/>
        </w:rPr>
        <w:t>formación en esta materia</w:t>
      </w:r>
      <w:r w:rsidR="00091059" w:rsidRPr="002F08C1">
        <w:rPr>
          <w:sz w:val="24"/>
          <w:szCs w:val="24"/>
        </w:rPr>
        <w:t>.</w:t>
      </w:r>
    </w:p>
    <w:p w14:paraId="0A2BCF83" w14:textId="77777777" w:rsidR="002F08C1" w:rsidRPr="002F08C1" w:rsidRDefault="002F08C1" w:rsidP="0004149D">
      <w:pPr>
        <w:jc w:val="both"/>
        <w:rPr>
          <w:sz w:val="24"/>
          <w:szCs w:val="24"/>
        </w:rPr>
      </w:pPr>
    </w:p>
    <w:p w14:paraId="047A6EDD" w14:textId="0EBB333E" w:rsidR="00440A27" w:rsidRPr="002F08C1" w:rsidRDefault="00F0702B" w:rsidP="00F0702B">
      <w:pPr>
        <w:pStyle w:val="Prrafodelista"/>
        <w:numPr>
          <w:ilvl w:val="1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2F08C1">
        <w:rPr>
          <w:rFonts w:ascii="Rockwell" w:hAnsi="Rockwell"/>
          <w:b/>
          <w:bCs/>
          <w:sz w:val="24"/>
          <w:szCs w:val="24"/>
        </w:rPr>
        <w:t>El Parlamento Europeo destaca las lecciones aprendidas y señala la necesidad de políticas más sólidas</w:t>
      </w:r>
    </w:p>
    <w:p w14:paraId="7E663D4D" w14:textId="4DC47D93" w:rsidR="00381BF3" w:rsidRDefault="00153FAA" w:rsidP="00381BF3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 xml:space="preserve">El Parlamento Europeo pide a los Estados Miembros </w:t>
      </w:r>
      <w:r w:rsidR="007F73A1" w:rsidRPr="002F08C1">
        <w:rPr>
          <w:sz w:val="24"/>
          <w:szCs w:val="24"/>
        </w:rPr>
        <w:t xml:space="preserve">que </w:t>
      </w:r>
      <w:r w:rsidR="007F73A1" w:rsidRPr="002F08C1">
        <w:rPr>
          <w:bCs/>
          <w:sz w:val="24"/>
          <w:szCs w:val="24"/>
        </w:rPr>
        <w:t xml:space="preserve">apliquen plenamente la legislación comunitaria vigente </w:t>
      </w:r>
      <w:r w:rsidR="00DE2088" w:rsidRPr="002F08C1">
        <w:rPr>
          <w:bCs/>
          <w:sz w:val="24"/>
          <w:szCs w:val="24"/>
        </w:rPr>
        <w:t>en relación con</w:t>
      </w:r>
      <w:r w:rsidR="007F73A1" w:rsidRPr="002F08C1">
        <w:rPr>
          <w:bCs/>
          <w:sz w:val="24"/>
          <w:szCs w:val="24"/>
        </w:rPr>
        <w:t xml:space="preserve"> las </w:t>
      </w:r>
      <w:r w:rsidR="007F73A1" w:rsidRPr="002F08C1">
        <w:rPr>
          <w:bCs/>
          <w:sz w:val="24"/>
          <w:szCs w:val="24"/>
          <w:u w:val="single"/>
        </w:rPr>
        <w:t>personas con discapacidad</w:t>
      </w:r>
      <w:r w:rsidR="007F73A1" w:rsidRPr="002F08C1">
        <w:rPr>
          <w:sz w:val="24"/>
          <w:szCs w:val="24"/>
        </w:rPr>
        <w:t xml:space="preserve"> y </w:t>
      </w:r>
      <w:r w:rsidR="00DE2088" w:rsidRPr="002F08C1">
        <w:rPr>
          <w:sz w:val="24"/>
          <w:szCs w:val="24"/>
        </w:rPr>
        <w:t>que sus instituciones tomen medidas, como la eliminación de las barreras a la accesibilidad en los edificios de la UE, proporcionen más traducciones en lenguaje de signos y braille de fácil lectura.</w:t>
      </w:r>
    </w:p>
    <w:p w14:paraId="061257F5" w14:textId="77777777" w:rsidR="002F08C1" w:rsidRPr="002F08C1" w:rsidRDefault="002F08C1" w:rsidP="00381BF3">
      <w:pPr>
        <w:jc w:val="both"/>
        <w:rPr>
          <w:sz w:val="24"/>
          <w:szCs w:val="24"/>
        </w:rPr>
      </w:pPr>
    </w:p>
    <w:p w14:paraId="1690FD89" w14:textId="47F1D41D" w:rsidR="003C4D8A" w:rsidRPr="002F08C1" w:rsidRDefault="00021CBF" w:rsidP="00021CBF">
      <w:pPr>
        <w:pStyle w:val="Prrafodelista"/>
        <w:numPr>
          <w:ilvl w:val="1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2F08C1">
        <w:rPr>
          <w:rFonts w:ascii="Rockwell" w:hAnsi="Rockwell"/>
          <w:b/>
          <w:bCs/>
          <w:sz w:val="24"/>
          <w:szCs w:val="24"/>
        </w:rPr>
        <w:t>Desinstitucionalizac</w:t>
      </w:r>
      <w:r w:rsidR="00432183" w:rsidRPr="002F08C1">
        <w:rPr>
          <w:rFonts w:ascii="Rockwell" w:hAnsi="Rockwell"/>
          <w:b/>
          <w:bCs/>
          <w:sz w:val="24"/>
          <w:szCs w:val="24"/>
        </w:rPr>
        <w:t>ión: necesidad reconocida</w:t>
      </w:r>
    </w:p>
    <w:p w14:paraId="58870AA9" w14:textId="3E2795E9" w:rsidR="00675553" w:rsidRPr="002F08C1" w:rsidRDefault="001E14E2" w:rsidP="002F7A3A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>Desde la FRA</w:t>
      </w:r>
      <w:r w:rsidR="00830C06" w:rsidRPr="002F08C1">
        <w:rPr>
          <w:sz w:val="24"/>
          <w:szCs w:val="24"/>
        </w:rPr>
        <w:t>,</w:t>
      </w:r>
      <w:r w:rsidRPr="002F08C1">
        <w:rPr>
          <w:sz w:val="24"/>
          <w:szCs w:val="24"/>
        </w:rPr>
        <w:t xml:space="preserve"> se señala la </w:t>
      </w:r>
      <w:r w:rsidRPr="002F08C1">
        <w:rPr>
          <w:bCs/>
          <w:sz w:val="24"/>
          <w:szCs w:val="24"/>
        </w:rPr>
        <w:t xml:space="preserve">desinstitucionalización </w:t>
      </w:r>
      <w:r w:rsidR="00830C06" w:rsidRPr="002F08C1">
        <w:rPr>
          <w:bCs/>
          <w:sz w:val="24"/>
          <w:szCs w:val="24"/>
        </w:rPr>
        <w:t>como una medida urgente</w:t>
      </w:r>
      <w:r w:rsidR="00830C06" w:rsidRPr="002F08C1">
        <w:rPr>
          <w:sz w:val="24"/>
          <w:szCs w:val="24"/>
        </w:rPr>
        <w:t xml:space="preserve"> </w:t>
      </w:r>
      <w:r w:rsidR="00E738D9" w:rsidRPr="002F08C1">
        <w:rPr>
          <w:sz w:val="24"/>
          <w:szCs w:val="24"/>
        </w:rPr>
        <w:t xml:space="preserve">a raíz de las </w:t>
      </w:r>
      <w:r w:rsidR="002F7A3A" w:rsidRPr="002F08C1">
        <w:rPr>
          <w:sz w:val="24"/>
          <w:szCs w:val="24"/>
        </w:rPr>
        <w:t>importante</w:t>
      </w:r>
      <w:r w:rsidR="00675553" w:rsidRPr="002F08C1">
        <w:rPr>
          <w:sz w:val="24"/>
          <w:szCs w:val="24"/>
        </w:rPr>
        <w:t>s</w:t>
      </w:r>
      <w:r w:rsidR="002F7A3A" w:rsidRPr="002F08C1">
        <w:rPr>
          <w:sz w:val="24"/>
          <w:szCs w:val="24"/>
        </w:rPr>
        <w:t xml:space="preserve"> p</w:t>
      </w:r>
      <w:r w:rsidR="00106DF5" w:rsidRPr="002F08C1">
        <w:rPr>
          <w:sz w:val="24"/>
          <w:szCs w:val="24"/>
        </w:rPr>
        <w:t>é</w:t>
      </w:r>
      <w:r w:rsidR="002F7A3A" w:rsidRPr="002F08C1">
        <w:rPr>
          <w:sz w:val="24"/>
          <w:szCs w:val="24"/>
        </w:rPr>
        <w:t xml:space="preserve">rdidas </w:t>
      </w:r>
      <w:r w:rsidR="00904612" w:rsidRPr="002F08C1">
        <w:rPr>
          <w:sz w:val="24"/>
          <w:szCs w:val="24"/>
        </w:rPr>
        <w:t>causadas por el COVID-19 en las instituciones</w:t>
      </w:r>
      <w:r w:rsidR="00675553" w:rsidRPr="002F08C1">
        <w:rPr>
          <w:sz w:val="24"/>
          <w:szCs w:val="24"/>
        </w:rPr>
        <w:t xml:space="preserve"> debido </w:t>
      </w:r>
      <w:r w:rsidR="009B4CE1" w:rsidRPr="002F08C1">
        <w:rPr>
          <w:sz w:val="24"/>
          <w:szCs w:val="24"/>
        </w:rPr>
        <w:t>a una</w:t>
      </w:r>
      <w:r w:rsidR="00675553" w:rsidRPr="002F08C1">
        <w:rPr>
          <w:sz w:val="24"/>
          <w:szCs w:val="24"/>
        </w:rPr>
        <w:t xml:space="preserve"> mayor transmisión viral en espacios cerra</w:t>
      </w:r>
      <w:r w:rsidR="00E53F07" w:rsidRPr="002F08C1">
        <w:rPr>
          <w:sz w:val="24"/>
          <w:szCs w:val="24"/>
        </w:rPr>
        <w:t>dos</w:t>
      </w:r>
      <w:r w:rsidR="00904612" w:rsidRPr="002F08C1">
        <w:rPr>
          <w:sz w:val="24"/>
          <w:szCs w:val="24"/>
        </w:rPr>
        <w:t>.</w:t>
      </w:r>
      <w:r w:rsidR="00757166" w:rsidRPr="002F08C1">
        <w:rPr>
          <w:sz w:val="24"/>
          <w:szCs w:val="24"/>
        </w:rPr>
        <w:t xml:space="preserve"> Por ello, se destaca</w:t>
      </w:r>
      <w:r w:rsidR="00CB0993" w:rsidRPr="002F08C1">
        <w:rPr>
          <w:sz w:val="24"/>
          <w:szCs w:val="24"/>
        </w:rPr>
        <w:t xml:space="preserve"> que los resultados de la pandemia han sido </w:t>
      </w:r>
      <w:r w:rsidR="00464366" w:rsidRPr="002F08C1">
        <w:rPr>
          <w:sz w:val="24"/>
          <w:szCs w:val="24"/>
        </w:rPr>
        <w:t>devastadores para las personas con discapacidad, sobre todo para las que se encuentran en instituciones.</w:t>
      </w:r>
      <w:r w:rsidR="00C00616" w:rsidRPr="002F08C1">
        <w:rPr>
          <w:sz w:val="24"/>
          <w:szCs w:val="24"/>
        </w:rPr>
        <w:t xml:space="preserve"> Además, destacan que </w:t>
      </w:r>
      <w:r w:rsidR="00FD7C8D" w:rsidRPr="002F08C1">
        <w:rPr>
          <w:sz w:val="24"/>
          <w:szCs w:val="24"/>
        </w:rPr>
        <w:t xml:space="preserve">las </w:t>
      </w:r>
      <w:r w:rsidR="00FD7C8D" w:rsidRPr="002F08C1">
        <w:rPr>
          <w:bCs/>
          <w:sz w:val="24"/>
          <w:szCs w:val="24"/>
        </w:rPr>
        <w:t>medidas para proteger la salud de los residentes son claramente necesarias, pero deben ser proporcionadas</w:t>
      </w:r>
      <w:r w:rsidR="00EF5890" w:rsidRPr="002F08C1">
        <w:rPr>
          <w:sz w:val="24"/>
          <w:szCs w:val="24"/>
        </w:rPr>
        <w:t xml:space="preserve"> </w:t>
      </w:r>
      <w:r w:rsidR="00FD7C8D" w:rsidRPr="002F08C1">
        <w:rPr>
          <w:bCs/>
          <w:sz w:val="24"/>
          <w:szCs w:val="24"/>
        </w:rPr>
        <w:t xml:space="preserve">y que respeten los derechos de las personas </w:t>
      </w:r>
      <w:r w:rsidR="0001137B" w:rsidRPr="002F08C1">
        <w:rPr>
          <w:bCs/>
          <w:sz w:val="24"/>
          <w:szCs w:val="24"/>
        </w:rPr>
        <w:t xml:space="preserve">internadas. </w:t>
      </w:r>
      <w:r w:rsidR="0001137B" w:rsidRPr="002F08C1">
        <w:rPr>
          <w:sz w:val="24"/>
          <w:szCs w:val="24"/>
        </w:rPr>
        <w:t xml:space="preserve">Para ello, se </w:t>
      </w:r>
      <w:r w:rsidR="00297257" w:rsidRPr="002F08C1">
        <w:rPr>
          <w:sz w:val="24"/>
          <w:szCs w:val="24"/>
        </w:rPr>
        <w:t>requiere una evaluación continua e individualizada en cada institución.</w:t>
      </w:r>
    </w:p>
    <w:p w14:paraId="49C8341C" w14:textId="00501032" w:rsidR="00F700D0" w:rsidRPr="002F08C1" w:rsidRDefault="00D7217E" w:rsidP="002F7A3A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 xml:space="preserve">Las personas con discapacidad suelen correr </w:t>
      </w:r>
      <w:r w:rsidRPr="002F08C1">
        <w:rPr>
          <w:bCs/>
          <w:sz w:val="24"/>
          <w:szCs w:val="24"/>
        </w:rPr>
        <w:t>un mayor riesgo de sufrir malos tratos</w:t>
      </w:r>
      <w:r w:rsidRPr="002F08C1">
        <w:rPr>
          <w:sz w:val="24"/>
          <w:szCs w:val="24"/>
        </w:rPr>
        <w:t xml:space="preserve"> en los entornos institucionales</w:t>
      </w:r>
      <w:r w:rsidR="00192186" w:rsidRPr="002F08C1">
        <w:rPr>
          <w:sz w:val="24"/>
          <w:szCs w:val="24"/>
        </w:rPr>
        <w:t xml:space="preserve">: </w:t>
      </w:r>
      <w:r w:rsidR="003E436D" w:rsidRPr="002F08C1">
        <w:rPr>
          <w:sz w:val="24"/>
          <w:szCs w:val="24"/>
        </w:rPr>
        <w:t>tratos físicos, reclusión, uso de sujeciones mecánicas, falta de higiene y escasez de personal en las instituciones</w:t>
      </w:r>
      <w:r w:rsidRPr="002F08C1">
        <w:rPr>
          <w:sz w:val="24"/>
          <w:szCs w:val="24"/>
        </w:rPr>
        <w:t xml:space="preserve">. El </w:t>
      </w:r>
      <w:r w:rsidRPr="002F08C1">
        <w:rPr>
          <w:bCs/>
          <w:sz w:val="24"/>
          <w:szCs w:val="24"/>
        </w:rPr>
        <w:t>Comité sobre los Derechos de las Personas con Discapacidad lo señaló en su Observación General de 2017</w:t>
      </w:r>
      <w:r w:rsidRPr="002F08C1">
        <w:rPr>
          <w:sz w:val="24"/>
          <w:szCs w:val="24"/>
        </w:rPr>
        <w:t xml:space="preserve"> sobre el derecho a la vida independiente</w:t>
      </w:r>
    </w:p>
    <w:p w14:paraId="23C48B33" w14:textId="08C50688" w:rsidR="00CA4D85" w:rsidRDefault="00CD24EB" w:rsidP="002F7A3A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 xml:space="preserve">Señalan que, aunque los Estados miembros siguen incluyendo planes de desinstitucionalización en sus planes de acción de la CDPD, estos </w:t>
      </w:r>
      <w:r w:rsidRPr="002F08C1">
        <w:rPr>
          <w:bCs/>
          <w:sz w:val="24"/>
          <w:szCs w:val="24"/>
        </w:rPr>
        <w:t>son muchas veces insuficientes</w:t>
      </w:r>
      <w:r w:rsidR="000B3A35" w:rsidRPr="002F08C1">
        <w:rPr>
          <w:sz w:val="24"/>
          <w:szCs w:val="24"/>
        </w:rPr>
        <w:t xml:space="preserve">, faltando apoyo, legislación y financiación adecuada. </w:t>
      </w:r>
    </w:p>
    <w:p w14:paraId="09984F8C" w14:textId="77777777" w:rsidR="002F08C1" w:rsidRPr="002F08C1" w:rsidRDefault="002F08C1" w:rsidP="002F7A3A">
      <w:pPr>
        <w:jc w:val="both"/>
        <w:rPr>
          <w:sz w:val="24"/>
          <w:szCs w:val="24"/>
        </w:rPr>
      </w:pPr>
    </w:p>
    <w:p w14:paraId="2E6BDE36" w14:textId="31F95781" w:rsidR="00810F30" w:rsidRPr="002F08C1" w:rsidRDefault="00810F30" w:rsidP="00810F30">
      <w:pPr>
        <w:pStyle w:val="Prrafodelista"/>
        <w:numPr>
          <w:ilvl w:val="1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2F08C1">
        <w:rPr>
          <w:rFonts w:ascii="Rockwell" w:hAnsi="Rockwell"/>
          <w:b/>
          <w:bCs/>
          <w:sz w:val="24"/>
          <w:szCs w:val="24"/>
        </w:rPr>
        <w:t>Educación</w:t>
      </w:r>
      <w:r w:rsidR="00F92C82" w:rsidRPr="002F08C1">
        <w:rPr>
          <w:rFonts w:ascii="Rockwell" w:hAnsi="Rockwell"/>
          <w:b/>
          <w:bCs/>
          <w:sz w:val="24"/>
          <w:szCs w:val="24"/>
        </w:rPr>
        <w:t>: la obligación de los Estados de integrar a los infantes con discapacidad</w:t>
      </w:r>
    </w:p>
    <w:p w14:paraId="71436A82" w14:textId="507F891F" w:rsidR="00B7279B" w:rsidRPr="002F08C1" w:rsidRDefault="003011DC" w:rsidP="008C784D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>La FRA</w:t>
      </w:r>
      <w:r w:rsidR="00C56F68" w:rsidRPr="002F08C1">
        <w:rPr>
          <w:sz w:val="24"/>
          <w:szCs w:val="24"/>
        </w:rPr>
        <w:t xml:space="preserve">, </w:t>
      </w:r>
      <w:r w:rsidR="004D35CF" w:rsidRPr="002F08C1">
        <w:rPr>
          <w:sz w:val="24"/>
          <w:szCs w:val="24"/>
        </w:rPr>
        <w:t>en su estudio de este año</w:t>
      </w:r>
      <w:r w:rsidR="00B7279B" w:rsidRPr="002F08C1">
        <w:rPr>
          <w:sz w:val="24"/>
          <w:szCs w:val="24"/>
        </w:rPr>
        <w:t xml:space="preserve">, sigue remarcando </w:t>
      </w:r>
      <w:r w:rsidR="00275330" w:rsidRPr="002F08C1">
        <w:rPr>
          <w:sz w:val="24"/>
          <w:szCs w:val="24"/>
        </w:rPr>
        <w:t xml:space="preserve">la </w:t>
      </w:r>
      <w:r w:rsidR="00275330" w:rsidRPr="002F08C1">
        <w:rPr>
          <w:bCs/>
          <w:sz w:val="24"/>
          <w:szCs w:val="24"/>
        </w:rPr>
        <w:t xml:space="preserve">poca </w:t>
      </w:r>
      <w:r w:rsidR="00B16E30" w:rsidRPr="002F08C1">
        <w:rPr>
          <w:bCs/>
          <w:sz w:val="24"/>
          <w:szCs w:val="24"/>
        </w:rPr>
        <w:t>inclusión</w:t>
      </w:r>
      <w:r w:rsidR="00275330" w:rsidRPr="002F08C1">
        <w:rPr>
          <w:bCs/>
          <w:sz w:val="24"/>
          <w:szCs w:val="24"/>
        </w:rPr>
        <w:t xml:space="preserve"> en el sistema educativ</w:t>
      </w:r>
      <w:r w:rsidR="00852CC6" w:rsidRPr="002F08C1">
        <w:rPr>
          <w:bCs/>
          <w:sz w:val="24"/>
          <w:szCs w:val="24"/>
        </w:rPr>
        <w:t>o</w:t>
      </w:r>
      <w:r w:rsidR="00275330" w:rsidRPr="002F08C1">
        <w:rPr>
          <w:sz w:val="24"/>
          <w:szCs w:val="24"/>
        </w:rPr>
        <w:t xml:space="preserve"> que sigue existiendo en muchos países europe</w:t>
      </w:r>
      <w:r w:rsidR="00440A44" w:rsidRPr="002F08C1">
        <w:rPr>
          <w:sz w:val="24"/>
          <w:szCs w:val="24"/>
        </w:rPr>
        <w:t>os,</w:t>
      </w:r>
      <w:r w:rsidR="00852CC6" w:rsidRPr="002F08C1">
        <w:rPr>
          <w:sz w:val="24"/>
          <w:szCs w:val="24"/>
        </w:rPr>
        <w:t xml:space="preserve"> sobre todo, </w:t>
      </w:r>
      <w:r w:rsidR="00754362" w:rsidRPr="002F08C1">
        <w:rPr>
          <w:sz w:val="24"/>
          <w:szCs w:val="24"/>
        </w:rPr>
        <w:t>en relación con</w:t>
      </w:r>
      <w:r w:rsidR="00852CC6" w:rsidRPr="002F08C1">
        <w:rPr>
          <w:sz w:val="24"/>
          <w:szCs w:val="24"/>
        </w:rPr>
        <w:t xml:space="preserve"> </w:t>
      </w:r>
      <w:r w:rsidR="00852CC6" w:rsidRPr="002F08C1">
        <w:rPr>
          <w:sz w:val="24"/>
          <w:szCs w:val="24"/>
        </w:rPr>
        <w:lastRenderedPageBreak/>
        <w:t>personas con discapacidad intelectual. No ob</w:t>
      </w:r>
      <w:r w:rsidR="00754362" w:rsidRPr="002F08C1">
        <w:rPr>
          <w:sz w:val="24"/>
          <w:szCs w:val="24"/>
        </w:rPr>
        <w:t>s</w:t>
      </w:r>
      <w:r w:rsidR="00852CC6" w:rsidRPr="002F08C1">
        <w:rPr>
          <w:sz w:val="24"/>
          <w:szCs w:val="24"/>
        </w:rPr>
        <w:t>t</w:t>
      </w:r>
      <w:r w:rsidR="00754362" w:rsidRPr="002F08C1">
        <w:rPr>
          <w:sz w:val="24"/>
          <w:szCs w:val="24"/>
        </w:rPr>
        <w:t>a</w:t>
      </w:r>
      <w:r w:rsidR="00852CC6" w:rsidRPr="002F08C1">
        <w:rPr>
          <w:sz w:val="24"/>
          <w:szCs w:val="24"/>
        </w:rPr>
        <w:t xml:space="preserve">nte, </w:t>
      </w:r>
      <w:r w:rsidR="0024717B" w:rsidRPr="002F08C1">
        <w:rPr>
          <w:sz w:val="24"/>
          <w:szCs w:val="24"/>
        </w:rPr>
        <w:t>destaca que</w:t>
      </w:r>
      <w:r w:rsidR="00026D30" w:rsidRPr="002F08C1">
        <w:rPr>
          <w:sz w:val="24"/>
          <w:szCs w:val="24"/>
        </w:rPr>
        <w:t xml:space="preserve"> se produjeron algunos avances alentadores en el derecho a la educación, </w:t>
      </w:r>
      <w:r w:rsidR="00196B32" w:rsidRPr="002F08C1">
        <w:rPr>
          <w:sz w:val="24"/>
          <w:szCs w:val="24"/>
        </w:rPr>
        <w:t xml:space="preserve">especialmente con </w:t>
      </w:r>
      <w:r w:rsidR="00113EC0" w:rsidRPr="002F08C1">
        <w:rPr>
          <w:bCs/>
          <w:sz w:val="24"/>
          <w:szCs w:val="24"/>
        </w:rPr>
        <w:t xml:space="preserve">incluir a personas </w:t>
      </w:r>
      <w:r w:rsidR="00B030F0" w:rsidRPr="002F08C1">
        <w:rPr>
          <w:bCs/>
          <w:sz w:val="24"/>
          <w:szCs w:val="24"/>
        </w:rPr>
        <w:t>con necesidades educativas especiales/discapacidades en colegios ordinarios</w:t>
      </w:r>
      <w:r w:rsidR="00B030F0" w:rsidRPr="002F08C1">
        <w:rPr>
          <w:sz w:val="24"/>
          <w:szCs w:val="24"/>
        </w:rPr>
        <w:t>.</w:t>
      </w:r>
    </w:p>
    <w:p w14:paraId="508505C4" w14:textId="312E42D1" w:rsidR="00C56F68" w:rsidRDefault="00852CC6" w:rsidP="008C784D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>E</w:t>
      </w:r>
      <w:r w:rsidR="00C56F68" w:rsidRPr="002F08C1">
        <w:rPr>
          <w:sz w:val="24"/>
          <w:szCs w:val="24"/>
        </w:rPr>
        <w:t xml:space="preserve">n relación con la </w:t>
      </w:r>
      <w:r w:rsidR="00C56F68" w:rsidRPr="002F08C1">
        <w:rPr>
          <w:bCs/>
          <w:sz w:val="24"/>
          <w:szCs w:val="24"/>
        </w:rPr>
        <w:t>educación inclusiva</w:t>
      </w:r>
      <w:r w:rsidR="00C56F68" w:rsidRPr="002F08C1">
        <w:rPr>
          <w:sz w:val="24"/>
          <w:szCs w:val="24"/>
        </w:rPr>
        <w:t>,</w:t>
      </w:r>
      <w:r w:rsidR="003B2045" w:rsidRPr="002F08C1">
        <w:rPr>
          <w:sz w:val="24"/>
          <w:szCs w:val="24"/>
        </w:rPr>
        <w:t xml:space="preserve"> indica que: “</w:t>
      </w:r>
      <w:r w:rsidR="00C56F68" w:rsidRPr="002F08C1">
        <w:rPr>
          <w:sz w:val="24"/>
          <w:szCs w:val="24"/>
        </w:rPr>
        <w:t>Las directrices</w:t>
      </w:r>
      <w:r w:rsidR="009D5CCA" w:rsidRPr="002F08C1">
        <w:rPr>
          <w:sz w:val="24"/>
          <w:szCs w:val="24"/>
        </w:rPr>
        <w:t xml:space="preserve"> [</w:t>
      </w:r>
      <w:r w:rsidR="00C50027" w:rsidRPr="002F08C1">
        <w:rPr>
          <w:sz w:val="24"/>
          <w:szCs w:val="24"/>
        </w:rPr>
        <w:t xml:space="preserve">publicadas </w:t>
      </w:r>
      <w:r w:rsidRPr="002F08C1">
        <w:rPr>
          <w:sz w:val="24"/>
          <w:szCs w:val="24"/>
        </w:rPr>
        <w:t>por el Ministerio de Ciencia y Educación de Croacia]</w:t>
      </w:r>
      <w:r w:rsidR="00C56F68" w:rsidRPr="002F08C1">
        <w:rPr>
          <w:sz w:val="24"/>
          <w:szCs w:val="24"/>
        </w:rPr>
        <w:t xml:space="preserve"> describen instrucciones sobre la identificación de los estudiantes con discapacidades; sobre los procesos de evaluación de sus necesidades educativas; sobre la planificación, ejecución y evaluación de los procesos de aprendizaje y enseñanza de los estudiantes con discapacidades; sobre las funciones de los diferentes participantes en el proceso educativo; y sobre las formas adecuadas de apoyo a los estudiantes.” (p.</w:t>
      </w:r>
      <w:r w:rsidR="00C40D5A" w:rsidRPr="002F08C1">
        <w:rPr>
          <w:sz w:val="24"/>
          <w:szCs w:val="24"/>
        </w:rPr>
        <w:t>247)</w:t>
      </w:r>
      <w:r w:rsidR="009F4202" w:rsidRPr="002F08C1">
        <w:rPr>
          <w:sz w:val="24"/>
          <w:szCs w:val="24"/>
        </w:rPr>
        <w:t xml:space="preserve"> que pueden servir como guía para otros países europeos. </w:t>
      </w:r>
    </w:p>
    <w:p w14:paraId="56C62910" w14:textId="77777777" w:rsidR="002F08C1" w:rsidRPr="002F08C1" w:rsidRDefault="002F08C1" w:rsidP="008C784D">
      <w:pPr>
        <w:jc w:val="both"/>
        <w:rPr>
          <w:sz w:val="24"/>
          <w:szCs w:val="24"/>
        </w:rPr>
      </w:pPr>
    </w:p>
    <w:p w14:paraId="09E5F7F8" w14:textId="063A4278" w:rsidR="00A96D6C" w:rsidRPr="002F08C1" w:rsidRDefault="00A96D6C" w:rsidP="00810F30">
      <w:pPr>
        <w:pStyle w:val="Prrafodelista"/>
        <w:numPr>
          <w:ilvl w:val="1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2F08C1">
        <w:rPr>
          <w:rFonts w:ascii="Rockwell" w:hAnsi="Rockwell"/>
          <w:b/>
          <w:bCs/>
          <w:sz w:val="24"/>
          <w:szCs w:val="24"/>
        </w:rPr>
        <w:t>Accesibilidad</w:t>
      </w:r>
    </w:p>
    <w:p w14:paraId="65CF7675" w14:textId="2C702792" w:rsidR="001C29C6" w:rsidRPr="002F08C1" w:rsidRDefault="00D418EB" w:rsidP="001C29C6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 xml:space="preserve">La legislación de la Unión exige a los Estados miembros que pongan en el mercado determinados productos y servicios accesibles en diferentes ámbitos. </w:t>
      </w:r>
      <w:r w:rsidR="00AB55F3" w:rsidRPr="002F08C1">
        <w:rPr>
          <w:sz w:val="24"/>
          <w:szCs w:val="24"/>
        </w:rPr>
        <w:t xml:space="preserve">En concreto, </w:t>
      </w:r>
      <w:r w:rsidR="00636513" w:rsidRPr="002F08C1">
        <w:rPr>
          <w:sz w:val="24"/>
          <w:szCs w:val="24"/>
        </w:rPr>
        <w:t xml:space="preserve">la </w:t>
      </w:r>
      <w:r w:rsidR="00636513" w:rsidRPr="002F08C1">
        <w:rPr>
          <w:bCs/>
          <w:sz w:val="24"/>
          <w:szCs w:val="24"/>
        </w:rPr>
        <w:t>Directiva de Accesibilidad a la Web exige que los sitios web de los organismos públicos y aplicaciones móviles de los organismos públicos sean accesibles</w:t>
      </w:r>
      <w:r w:rsidR="00636513" w:rsidRPr="002F08C1">
        <w:rPr>
          <w:sz w:val="24"/>
          <w:szCs w:val="24"/>
        </w:rPr>
        <w:t>, sobre todo a raíz de la pandemia.</w:t>
      </w:r>
      <w:r w:rsidR="00AB55F3" w:rsidRPr="002F08C1">
        <w:rPr>
          <w:sz w:val="24"/>
          <w:szCs w:val="24"/>
        </w:rPr>
        <w:t xml:space="preserve"> Sin embargo: “Los principales actores implicados en la comunicación de crisis </w:t>
      </w:r>
      <w:r w:rsidR="00AB55F3" w:rsidRPr="002F08C1">
        <w:rPr>
          <w:bCs/>
          <w:sz w:val="24"/>
          <w:szCs w:val="24"/>
        </w:rPr>
        <w:t>carecían de procesos para producir información accesible al principio de la pandemia de Covid-19</w:t>
      </w:r>
      <w:r w:rsidR="00AB55F3" w:rsidRPr="002F08C1">
        <w:rPr>
          <w:sz w:val="24"/>
          <w:szCs w:val="24"/>
        </w:rPr>
        <w:t xml:space="preserve">, según señaló la Agencia de Medios de Comunicación Accesibles señaló en enero de 2021. Añadió que ha sido </w:t>
      </w:r>
      <w:r w:rsidR="00AB55F3" w:rsidRPr="002F08C1">
        <w:rPr>
          <w:bCs/>
          <w:sz w:val="24"/>
          <w:szCs w:val="24"/>
        </w:rPr>
        <w:t>difícil obtener ayuda individual para comprender la información durante la pandemia</w:t>
      </w:r>
      <w:r w:rsidR="00AB55F3" w:rsidRPr="002F08C1">
        <w:rPr>
          <w:sz w:val="24"/>
          <w:szCs w:val="24"/>
        </w:rPr>
        <w:t>.” (p.</w:t>
      </w:r>
      <w:r w:rsidR="004250C3" w:rsidRPr="002F08C1">
        <w:rPr>
          <w:sz w:val="24"/>
          <w:szCs w:val="24"/>
        </w:rPr>
        <w:t xml:space="preserve"> 249)</w:t>
      </w:r>
      <w:r w:rsidR="00883F00" w:rsidRPr="002F08C1">
        <w:rPr>
          <w:sz w:val="24"/>
          <w:szCs w:val="24"/>
        </w:rPr>
        <w:t>.</w:t>
      </w:r>
    </w:p>
    <w:p w14:paraId="66870E53" w14:textId="333073EB" w:rsidR="00883F00" w:rsidRDefault="00883F00" w:rsidP="001C29C6">
      <w:pPr>
        <w:jc w:val="both"/>
        <w:rPr>
          <w:sz w:val="24"/>
          <w:szCs w:val="24"/>
        </w:rPr>
      </w:pPr>
      <w:r w:rsidRPr="002F08C1">
        <w:rPr>
          <w:sz w:val="24"/>
          <w:szCs w:val="24"/>
        </w:rPr>
        <w:t xml:space="preserve">Según la FRA, a pesar de </w:t>
      </w:r>
      <w:r w:rsidR="00E77D09" w:rsidRPr="002F08C1">
        <w:rPr>
          <w:sz w:val="24"/>
          <w:szCs w:val="24"/>
        </w:rPr>
        <w:t>los diferentes planes nacionales en relación con la accesibilidad</w:t>
      </w:r>
      <w:r w:rsidR="001C4E72" w:rsidRPr="002F08C1">
        <w:rPr>
          <w:sz w:val="24"/>
          <w:szCs w:val="24"/>
        </w:rPr>
        <w:t xml:space="preserve"> llevados a cabo en algun</w:t>
      </w:r>
      <w:r w:rsidR="003F1F56" w:rsidRPr="002F08C1">
        <w:rPr>
          <w:sz w:val="24"/>
          <w:szCs w:val="24"/>
        </w:rPr>
        <w:t>o</w:t>
      </w:r>
      <w:r w:rsidR="001C4E72" w:rsidRPr="002F08C1">
        <w:rPr>
          <w:sz w:val="24"/>
          <w:szCs w:val="24"/>
        </w:rPr>
        <w:t>s países</w:t>
      </w:r>
      <w:r w:rsidR="00E77D09" w:rsidRPr="002F08C1">
        <w:rPr>
          <w:sz w:val="24"/>
          <w:szCs w:val="24"/>
        </w:rPr>
        <w:t xml:space="preserve">, </w:t>
      </w:r>
      <w:r w:rsidR="00504EF2" w:rsidRPr="002F08C1">
        <w:rPr>
          <w:sz w:val="24"/>
          <w:szCs w:val="24"/>
        </w:rPr>
        <w:t xml:space="preserve">queda </w:t>
      </w:r>
      <w:r w:rsidR="00504EF2" w:rsidRPr="002F08C1">
        <w:rPr>
          <w:bCs/>
          <w:sz w:val="24"/>
          <w:szCs w:val="24"/>
        </w:rPr>
        <w:t>mucho trabajo por hacer</w:t>
      </w:r>
      <w:r w:rsidR="00504EF2" w:rsidRPr="002F08C1">
        <w:rPr>
          <w:sz w:val="24"/>
          <w:szCs w:val="24"/>
        </w:rPr>
        <w:t xml:space="preserve"> en áreas que quedan fuera del ámbito de la Directiva de Directiva de Accesibilidad y el Acta de Accesibilidad Europea.</w:t>
      </w:r>
      <w:r w:rsidR="001C4E72" w:rsidRPr="002F08C1">
        <w:rPr>
          <w:sz w:val="24"/>
          <w:szCs w:val="24"/>
        </w:rPr>
        <w:t xml:space="preserve"> En especial, con relación</w:t>
      </w:r>
      <w:r w:rsidR="006B7D5D" w:rsidRPr="002F08C1">
        <w:rPr>
          <w:sz w:val="24"/>
          <w:szCs w:val="24"/>
        </w:rPr>
        <w:t xml:space="preserve"> con </w:t>
      </w:r>
      <w:r w:rsidR="006B7D5D" w:rsidRPr="002F08C1">
        <w:rPr>
          <w:bCs/>
          <w:sz w:val="24"/>
          <w:szCs w:val="24"/>
        </w:rPr>
        <w:t>la participación política y el derecho al voto de las personas con discapacidad</w:t>
      </w:r>
      <w:r w:rsidR="006B7D5D" w:rsidRPr="002F08C1">
        <w:rPr>
          <w:sz w:val="24"/>
          <w:szCs w:val="24"/>
        </w:rPr>
        <w:t xml:space="preserve">. </w:t>
      </w:r>
      <w:r w:rsidR="00C16CE1" w:rsidRPr="002F08C1">
        <w:rPr>
          <w:sz w:val="24"/>
          <w:szCs w:val="24"/>
        </w:rPr>
        <w:t xml:space="preserve">Considerado como un derecho fundamental y recogido en la CDPD, </w:t>
      </w:r>
      <w:r w:rsidR="005F387D" w:rsidRPr="002F08C1">
        <w:rPr>
          <w:sz w:val="24"/>
          <w:szCs w:val="24"/>
        </w:rPr>
        <w:t>las personas con discapacidad todavía se siguen encontra</w:t>
      </w:r>
      <w:r w:rsidR="003F1F56" w:rsidRPr="002F08C1">
        <w:rPr>
          <w:sz w:val="24"/>
          <w:szCs w:val="24"/>
        </w:rPr>
        <w:t>n</w:t>
      </w:r>
      <w:r w:rsidR="005F387D" w:rsidRPr="002F08C1">
        <w:rPr>
          <w:sz w:val="24"/>
          <w:szCs w:val="24"/>
        </w:rPr>
        <w:t xml:space="preserve">do </w:t>
      </w:r>
      <w:r w:rsidR="000F5685" w:rsidRPr="002F08C1">
        <w:rPr>
          <w:sz w:val="24"/>
          <w:szCs w:val="24"/>
        </w:rPr>
        <w:t xml:space="preserve">barreras a la hora de ejercer su derecho: </w:t>
      </w:r>
      <w:r w:rsidR="006D4143" w:rsidRPr="002F08C1">
        <w:rPr>
          <w:sz w:val="24"/>
          <w:szCs w:val="24"/>
        </w:rPr>
        <w:t xml:space="preserve">colegios electorales inaccesibles, </w:t>
      </w:r>
      <w:r w:rsidR="006725B4" w:rsidRPr="002F08C1">
        <w:rPr>
          <w:sz w:val="24"/>
          <w:szCs w:val="24"/>
        </w:rPr>
        <w:t xml:space="preserve">escasez de plazas de aparcamiento designadas, </w:t>
      </w:r>
      <w:r w:rsidR="0005296E" w:rsidRPr="002F08C1">
        <w:rPr>
          <w:sz w:val="24"/>
          <w:szCs w:val="24"/>
        </w:rPr>
        <w:t xml:space="preserve">transporte público poco accesible, </w:t>
      </w:r>
      <w:r w:rsidR="00706C98" w:rsidRPr="002F08C1">
        <w:rPr>
          <w:sz w:val="24"/>
          <w:szCs w:val="24"/>
        </w:rPr>
        <w:t xml:space="preserve">información en lenguaje complicado, </w:t>
      </w:r>
      <w:r w:rsidR="001A745F" w:rsidRPr="002F08C1">
        <w:rPr>
          <w:sz w:val="24"/>
          <w:szCs w:val="24"/>
        </w:rPr>
        <w:t>inexistencia de personas que adviertan y comuniquen a las personas que lo necesiten, etc.</w:t>
      </w:r>
      <w:r w:rsidR="005A4FFF" w:rsidRPr="002F08C1">
        <w:rPr>
          <w:sz w:val="24"/>
          <w:szCs w:val="24"/>
        </w:rPr>
        <w:t xml:space="preserve"> </w:t>
      </w:r>
      <w:r w:rsidR="00B8141B" w:rsidRPr="002F08C1">
        <w:rPr>
          <w:sz w:val="24"/>
          <w:szCs w:val="24"/>
        </w:rPr>
        <w:t xml:space="preserve">También se encuentran problemas para </w:t>
      </w:r>
      <w:r w:rsidR="00B8141B" w:rsidRPr="002F08C1">
        <w:rPr>
          <w:bCs/>
          <w:sz w:val="24"/>
          <w:szCs w:val="24"/>
        </w:rPr>
        <w:t xml:space="preserve">viajar de forma independiente, </w:t>
      </w:r>
      <w:r w:rsidR="00B8141B" w:rsidRPr="002F08C1">
        <w:rPr>
          <w:sz w:val="24"/>
          <w:szCs w:val="24"/>
        </w:rPr>
        <w:t xml:space="preserve">al no tener transportes accesibles, tener que depender de personal </w:t>
      </w:r>
      <w:r w:rsidR="009A2435" w:rsidRPr="002F08C1">
        <w:rPr>
          <w:sz w:val="24"/>
          <w:szCs w:val="24"/>
        </w:rPr>
        <w:t>para poder subir y bajar de los transportes o no existir información en lenguaje sencillo</w:t>
      </w:r>
      <w:r w:rsidR="00CA16D8" w:rsidRPr="002F08C1">
        <w:rPr>
          <w:sz w:val="24"/>
          <w:szCs w:val="24"/>
        </w:rPr>
        <w:t xml:space="preserve"> o </w:t>
      </w:r>
      <w:r w:rsidR="00BE2958" w:rsidRPr="002F08C1">
        <w:rPr>
          <w:sz w:val="24"/>
          <w:szCs w:val="24"/>
        </w:rPr>
        <w:t>braille</w:t>
      </w:r>
      <w:r w:rsidR="00CA16D8" w:rsidRPr="002F08C1">
        <w:rPr>
          <w:sz w:val="24"/>
          <w:szCs w:val="24"/>
        </w:rPr>
        <w:t xml:space="preserve">. </w:t>
      </w:r>
    </w:p>
    <w:p w14:paraId="64DBD1D7" w14:textId="77777777" w:rsidR="002F08C1" w:rsidRPr="002F08C1" w:rsidRDefault="002F08C1" w:rsidP="001C29C6">
      <w:pPr>
        <w:jc w:val="both"/>
        <w:rPr>
          <w:sz w:val="24"/>
          <w:szCs w:val="24"/>
        </w:rPr>
      </w:pPr>
    </w:p>
    <w:p w14:paraId="38E0AEAB" w14:textId="69A9026B" w:rsidR="00691000" w:rsidRPr="002F08C1" w:rsidRDefault="00691000" w:rsidP="00810F30">
      <w:pPr>
        <w:pStyle w:val="Prrafodelista"/>
        <w:numPr>
          <w:ilvl w:val="1"/>
          <w:numId w:val="1"/>
        </w:numPr>
        <w:jc w:val="both"/>
        <w:rPr>
          <w:rFonts w:ascii="Rockwell" w:hAnsi="Rockwell"/>
          <w:b/>
          <w:bCs/>
          <w:sz w:val="24"/>
          <w:szCs w:val="24"/>
        </w:rPr>
      </w:pPr>
      <w:r w:rsidRPr="002F08C1">
        <w:rPr>
          <w:rFonts w:ascii="Rockwell" w:hAnsi="Rockwell"/>
          <w:b/>
          <w:bCs/>
          <w:sz w:val="24"/>
          <w:szCs w:val="24"/>
        </w:rPr>
        <w:t>Marco de supervisión de la CDPD de la UE</w:t>
      </w:r>
    </w:p>
    <w:p w14:paraId="6B6FE919" w14:textId="75C300F7" w:rsidR="00D6430C" w:rsidRPr="002F08C1" w:rsidRDefault="005D7DF9" w:rsidP="00222C75">
      <w:pPr>
        <w:jc w:val="both"/>
        <w:rPr>
          <w:rFonts w:cstheme="minorHAnsi"/>
          <w:bCs/>
          <w:sz w:val="24"/>
          <w:szCs w:val="24"/>
        </w:rPr>
      </w:pPr>
      <w:r w:rsidRPr="002F08C1">
        <w:rPr>
          <w:rFonts w:cstheme="minorHAnsi"/>
          <w:bCs/>
          <w:sz w:val="24"/>
          <w:szCs w:val="24"/>
        </w:rPr>
        <w:t xml:space="preserve">El Parlamento Europeo preside ahora el </w:t>
      </w:r>
      <w:r w:rsidR="00222C75" w:rsidRPr="002F08C1">
        <w:rPr>
          <w:rFonts w:cstheme="minorHAnsi"/>
          <w:bCs/>
          <w:sz w:val="24"/>
          <w:szCs w:val="24"/>
        </w:rPr>
        <w:t>M</w:t>
      </w:r>
      <w:r w:rsidRPr="002F08C1">
        <w:rPr>
          <w:rFonts w:cstheme="minorHAnsi"/>
          <w:bCs/>
          <w:sz w:val="24"/>
          <w:szCs w:val="24"/>
        </w:rPr>
        <w:t xml:space="preserve">arco </w:t>
      </w:r>
      <w:r w:rsidR="00222C75" w:rsidRPr="002F08C1">
        <w:rPr>
          <w:rFonts w:cstheme="minorHAnsi"/>
          <w:bCs/>
          <w:sz w:val="24"/>
          <w:szCs w:val="24"/>
        </w:rPr>
        <w:t xml:space="preserve">de Supervisión </w:t>
      </w:r>
      <w:r w:rsidRPr="002F08C1">
        <w:rPr>
          <w:rFonts w:cstheme="minorHAnsi"/>
          <w:bCs/>
          <w:sz w:val="24"/>
          <w:szCs w:val="24"/>
        </w:rPr>
        <w:t>de la CDPD de la UE</w:t>
      </w:r>
      <w:r w:rsidRPr="002F08C1">
        <w:rPr>
          <w:rFonts w:cstheme="minorHAnsi"/>
          <w:sz w:val="24"/>
          <w:szCs w:val="24"/>
        </w:rPr>
        <w:t>, que se comprometió en su intercambio</w:t>
      </w:r>
      <w:r w:rsidR="00232316" w:rsidRPr="002F08C1">
        <w:rPr>
          <w:rFonts w:cstheme="minorHAnsi"/>
          <w:sz w:val="24"/>
          <w:szCs w:val="24"/>
        </w:rPr>
        <w:t xml:space="preserve"> de información</w:t>
      </w:r>
      <w:r w:rsidRPr="002F08C1">
        <w:rPr>
          <w:rFonts w:cstheme="minorHAnsi"/>
          <w:sz w:val="24"/>
          <w:szCs w:val="24"/>
        </w:rPr>
        <w:t xml:space="preserve"> anual con la Comisión y comenzó sus preparativos para la aportación de la lista de cuestiones. </w:t>
      </w:r>
      <w:r w:rsidRPr="002F08C1">
        <w:rPr>
          <w:rFonts w:cstheme="minorHAnsi"/>
          <w:bCs/>
          <w:sz w:val="24"/>
          <w:szCs w:val="24"/>
        </w:rPr>
        <w:t>Esta lista forma parte de la revisión de la aplicación de la CDPD por parte de la UE</w:t>
      </w:r>
      <w:r w:rsidR="00232316" w:rsidRPr="002F08C1">
        <w:rPr>
          <w:rFonts w:cstheme="minorHAnsi"/>
          <w:bCs/>
          <w:sz w:val="24"/>
          <w:szCs w:val="24"/>
        </w:rPr>
        <w:t xml:space="preserve">, </w:t>
      </w:r>
      <w:r w:rsidR="00232316" w:rsidRPr="002F08C1">
        <w:rPr>
          <w:rFonts w:cstheme="minorHAnsi"/>
          <w:sz w:val="24"/>
          <w:szCs w:val="24"/>
        </w:rPr>
        <w:t xml:space="preserve">ya que los miembros se </w:t>
      </w:r>
      <w:r w:rsidR="00232316" w:rsidRPr="002F08C1">
        <w:rPr>
          <w:rFonts w:cstheme="minorHAnsi"/>
          <w:sz w:val="24"/>
          <w:szCs w:val="24"/>
        </w:rPr>
        <w:lastRenderedPageBreak/>
        <w:t>comprometieron en una amplia gama de actividades relacionadas con la legislación y la política de la UE.</w:t>
      </w:r>
      <w:r w:rsidRPr="002F08C1">
        <w:rPr>
          <w:rFonts w:cstheme="minorHAnsi"/>
          <w:sz w:val="24"/>
          <w:szCs w:val="24"/>
        </w:rPr>
        <w:t xml:space="preserve"> </w:t>
      </w:r>
      <w:r w:rsidR="00232316" w:rsidRPr="002F08C1">
        <w:rPr>
          <w:rFonts w:cstheme="minorHAnsi"/>
          <w:sz w:val="24"/>
          <w:szCs w:val="24"/>
        </w:rPr>
        <w:t>Asimismo, s</w:t>
      </w:r>
      <w:r w:rsidRPr="002F08C1">
        <w:rPr>
          <w:rFonts w:cstheme="minorHAnsi"/>
          <w:sz w:val="24"/>
          <w:szCs w:val="24"/>
        </w:rPr>
        <w:t xml:space="preserve">e espera que el </w:t>
      </w:r>
      <w:r w:rsidRPr="002F08C1">
        <w:rPr>
          <w:rFonts w:cstheme="minorHAnsi"/>
          <w:bCs/>
          <w:sz w:val="24"/>
          <w:szCs w:val="24"/>
        </w:rPr>
        <w:t>Comité sobre los Derechos de las Personas con Discapacidad lleve a cabo</w:t>
      </w:r>
      <w:r w:rsidR="00232316" w:rsidRPr="002F08C1">
        <w:rPr>
          <w:rFonts w:cstheme="minorHAnsi"/>
          <w:bCs/>
          <w:sz w:val="24"/>
          <w:szCs w:val="24"/>
        </w:rPr>
        <w:t xml:space="preserve"> su propia</w:t>
      </w:r>
      <w:r w:rsidRPr="002F08C1">
        <w:rPr>
          <w:rFonts w:cstheme="minorHAnsi"/>
          <w:bCs/>
          <w:sz w:val="24"/>
          <w:szCs w:val="24"/>
        </w:rPr>
        <w:t xml:space="preserve"> revisión en 2022. </w:t>
      </w:r>
    </w:p>
    <w:p w14:paraId="616D3A2D" w14:textId="25EDB5C4" w:rsidR="00330300" w:rsidRPr="00294FF0" w:rsidRDefault="00A139C5" w:rsidP="00222C75">
      <w:pPr>
        <w:jc w:val="both"/>
        <w:rPr>
          <w:rFonts w:cstheme="minorHAnsi"/>
          <w:sz w:val="24"/>
          <w:szCs w:val="24"/>
        </w:rPr>
      </w:pPr>
      <w:r w:rsidRPr="002F08C1">
        <w:rPr>
          <w:rFonts w:cstheme="minorHAnsi"/>
          <w:sz w:val="24"/>
          <w:szCs w:val="24"/>
        </w:rPr>
        <w:t xml:space="preserve">La FRA, como miembro del marco, siguió participando en actividades centradas en el desarrollo de la capacidad de los organismos nacionales de supervisión. </w:t>
      </w:r>
      <w:r w:rsidR="00A67F00" w:rsidRPr="002F08C1">
        <w:rPr>
          <w:rFonts w:cstheme="minorHAnsi"/>
          <w:bCs/>
          <w:sz w:val="24"/>
          <w:szCs w:val="24"/>
        </w:rPr>
        <w:t>Cada miembro cuent</w:t>
      </w:r>
      <w:r w:rsidR="00BE30BB" w:rsidRPr="002F08C1">
        <w:rPr>
          <w:rFonts w:cstheme="minorHAnsi"/>
          <w:bCs/>
          <w:sz w:val="24"/>
          <w:szCs w:val="24"/>
        </w:rPr>
        <w:t>a</w:t>
      </w:r>
      <w:r w:rsidR="00A67F00" w:rsidRPr="002F08C1">
        <w:rPr>
          <w:rFonts w:cstheme="minorHAnsi"/>
          <w:bCs/>
          <w:sz w:val="24"/>
          <w:szCs w:val="24"/>
        </w:rPr>
        <w:t xml:space="preserve"> con su propio </w:t>
      </w:r>
      <w:r w:rsidR="008C3615" w:rsidRPr="002F08C1">
        <w:rPr>
          <w:rFonts w:cstheme="minorHAnsi"/>
          <w:bCs/>
          <w:sz w:val="24"/>
          <w:szCs w:val="24"/>
        </w:rPr>
        <w:t>órgano de seguimiento de la Convención</w:t>
      </w:r>
      <w:r w:rsidR="008C3615" w:rsidRPr="002F08C1">
        <w:rPr>
          <w:rFonts w:cstheme="minorHAnsi"/>
          <w:sz w:val="24"/>
          <w:szCs w:val="24"/>
        </w:rPr>
        <w:t xml:space="preserve">. A excepción de </w:t>
      </w:r>
      <w:r w:rsidRPr="002F08C1">
        <w:rPr>
          <w:rFonts w:cstheme="minorHAnsi"/>
          <w:sz w:val="24"/>
          <w:szCs w:val="24"/>
        </w:rPr>
        <w:t>Suecia</w:t>
      </w:r>
      <w:r w:rsidR="008C3615" w:rsidRPr="002F08C1">
        <w:rPr>
          <w:rFonts w:cstheme="minorHAnsi"/>
          <w:sz w:val="24"/>
          <w:szCs w:val="24"/>
        </w:rPr>
        <w:t>, que:</w:t>
      </w:r>
      <w:r w:rsidRPr="002F08C1">
        <w:rPr>
          <w:rFonts w:cstheme="minorHAnsi"/>
          <w:sz w:val="24"/>
          <w:szCs w:val="24"/>
        </w:rPr>
        <w:t xml:space="preserve"> </w:t>
      </w:r>
      <w:r w:rsidR="008C3615" w:rsidRPr="002F08C1">
        <w:rPr>
          <w:rFonts w:cstheme="minorHAnsi"/>
          <w:sz w:val="24"/>
          <w:szCs w:val="24"/>
        </w:rPr>
        <w:t>“</w:t>
      </w:r>
      <w:r w:rsidRPr="002F08C1">
        <w:rPr>
          <w:rFonts w:cstheme="minorHAnsi"/>
          <w:sz w:val="24"/>
          <w:szCs w:val="24"/>
        </w:rPr>
        <w:t>es el último Estado miembro que carece de un órgano de seguimiento de la CDPD.</w:t>
      </w:r>
      <w:r w:rsidR="008C3615" w:rsidRPr="002F08C1">
        <w:rPr>
          <w:rFonts w:cstheme="minorHAnsi"/>
          <w:sz w:val="24"/>
          <w:szCs w:val="24"/>
        </w:rPr>
        <w:t>” (p.</w:t>
      </w:r>
      <w:r w:rsidR="006E46D7" w:rsidRPr="002F08C1">
        <w:rPr>
          <w:rFonts w:cstheme="minorHAnsi"/>
          <w:sz w:val="24"/>
          <w:szCs w:val="24"/>
        </w:rPr>
        <w:t>252)</w:t>
      </w:r>
      <w:r w:rsidR="00AE547C" w:rsidRPr="002F08C1">
        <w:rPr>
          <w:rFonts w:cstheme="minorHAnsi"/>
          <w:sz w:val="24"/>
          <w:szCs w:val="24"/>
        </w:rPr>
        <w:t xml:space="preserve">. Aunque cada organismo nacional tiene sus peculiaridades, </w:t>
      </w:r>
      <w:r w:rsidR="00714458" w:rsidRPr="002F08C1">
        <w:rPr>
          <w:rFonts w:cstheme="minorHAnsi"/>
          <w:sz w:val="24"/>
          <w:szCs w:val="24"/>
        </w:rPr>
        <w:t>todos tienen en común la defensa de los derechos humanos</w:t>
      </w:r>
      <w:r w:rsidR="00BE30BB" w:rsidRPr="002F08C1">
        <w:rPr>
          <w:rFonts w:cstheme="minorHAnsi"/>
          <w:sz w:val="24"/>
          <w:szCs w:val="24"/>
        </w:rPr>
        <w:t xml:space="preserve">, en concreto de los derechos de las personas con discapacidad, y se basa en examinar </w:t>
      </w:r>
      <w:r w:rsidR="00EC7AC1" w:rsidRPr="002F08C1">
        <w:rPr>
          <w:rFonts w:cstheme="minorHAnsi"/>
          <w:sz w:val="24"/>
          <w:szCs w:val="24"/>
        </w:rPr>
        <w:t xml:space="preserve">políticas </w:t>
      </w:r>
      <w:r w:rsidR="00BE30BB" w:rsidRPr="002F08C1">
        <w:rPr>
          <w:rFonts w:cstheme="minorHAnsi"/>
          <w:sz w:val="24"/>
          <w:szCs w:val="24"/>
        </w:rPr>
        <w:t xml:space="preserve">y presionar a los </w:t>
      </w:r>
      <w:r w:rsidR="00EC7AC1" w:rsidRPr="002F08C1">
        <w:rPr>
          <w:rFonts w:cstheme="minorHAnsi"/>
          <w:sz w:val="24"/>
          <w:szCs w:val="24"/>
        </w:rPr>
        <w:t>g</w:t>
      </w:r>
      <w:r w:rsidR="00BE30BB" w:rsidRPr="002F08C1">
        <w:rPr>
          <w:rFonts w:cstheme="minorHAnsi"/>
          <w:sz w:val="24"/>
          <w:szCs w:val="24"/>
        </w:rPr>
        <w:t>obier</w:t>
      </w:r>
      <w:r w:rsidR="00EC7AC1" w:rsidRPr="002F08C1">
        <w:rPr>
          <w:rFonts w:cstheme="minorHAnsi"/>
          <w:sz w:val="24"/>
          <w:szCs w:val="24"/>
        </w:rPr>
        <w:t xml:space="preserve">nos nacionales e instituciones a su </w:t>
      </w:r>
      <w:r w:rsidR="00BF312F" w:rsidRPr="002F08C1">
        <w:rPr>
          <w:rFonts w:cstheme="minorHAnsi"/>
          <w:sz w:val="24"/>
          <w:szCs w:val="24"/>
        </w:rPr>
        <w:t>cumplimiento</w:t>
      </w:r>
      <w:r w:rsidR="00BE30BB" w:rsidRPr="002F08C1">
        <w:rPr>
          <w:rFonts w:cstheme="minorHAnsi"/>
          <w:sz w:val="24"/>
          <w:szCs w:val="24"/>
        </w:rPr>
        <w:t>.</w:t>
      </w:r>
    </w:p>
    <w:p w14:paraId="47B1E76C" w14:textId="58768682" w:rsidR="00330300" w:rsidRPr="002F08C1" w:rsidRDefault="00330300" w:rsidP="00330300">
      <w:pPr>
        <w:jc w:val="right"/>
        <w:rPr>
          <w:sz w:val="24"/>
          <w:szCs w:val="24"/>
        </w:rPr>
      </w:pPr>
      <w:r w:rsidRPr="002F08C1">
        <w:rPr>
          <w:sz w:val="24"/>
          <w:szCs w:val="24"/>
        </w:rPr>
        <w:t>14 de octubre de 2022</w:t>
      </w:r>
    </w:p>
    <w:p w14:paraId="561302C4" w14:textId="325DF55E" w:rsidR="00330300" w:rsidRPr="002F08C1" w:rsidRDefault="00330300" w:rsidP="00330300">
      <w:pPr>
        <w:jc w:val="right"/>
        <w:rPr>
          <w:sz w:val="24"/>
          <w:szCs w:val="24"/>
        </w:rPr>
      </w:pPr>
    </w:p>
    <w:p w14:paraId="0DFFD69B" w14:textId="6B4253DF" w:rsidR="00294FF0" w:rsidRDefault="00294FF0" w:rsidP="00330300">
      <w:pPr>
        <w:jc w:val="center"/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CERMI</w:t>
      </w:r>
    </w:p>
    <w:p w14:paraId="599ADAA8" w14:textId="7ED64918" w:rsidR="00330300" w:rsidRDefault="00AB342B" w:rsidP="00330300">
      <w:pPr>
        <w:jc w:val="center"/>
        <w:rPr>
          <w:rFonts w:ascii="Rockwell" w:hAnsi="Rockwell"/>
          <w:b/>
          <w:sz w:val="32"/>
          <w:szCs w:val="32"/>
        </w:rPr>
      </w:pPr>
      <w:hyperlink r:id="rId8" w:history="1">
        <w:r w:rsidR="0025603F" w:rsidRPr="00C82838">
          <w:rPr>
            <w:rStyle w:val="Hipervnculo"/>
            <w:rFonts w:ascii="Rockwell" w:hAnsi="Rockwell"/>
            <w:b/>
            <w:sz w:val="32"/>
            <w:szCs w:val="32"/>
          </w:rPr>
          <w:t>www.cermi.es</w:t>
        </w:r>
      </w:hyperlink>
    </w:p>
    <w:p w14:paraId="11BE6810" w14:textId="77777777" w:rsidR="0025603F" w:rsidRPr="002F08C1" w:rsidRDefault="0025603F" w:rsidP="00330300">
      <w:pPr>
        <w:jc w:val="center"/>
        <w:rPr>
          <w:rFonts w:ascii="Rockwell" w:hAnsi="Rockwell"/>
          <w:b/>
          <w:sz w:val="32"/>
          <w:szCs w:val="32"/>
        </w:rPr>
      </w:pPr>
    </w:p>
    <w:sectPr w:rsidR="0025603F" w:rsidRPr="002F0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A7B7" w14:textId="77777777" w:rsidR="00AB342B" w:rsidRDefault="00AB342B" w:rsidP="00BB563D">
      <w:pPr>
        <w:spacing w:after="0" w:line="240" w:lineRule="auto"/>
      </w:pPr>
      <w:r>
        <w:separator/>
      </w:r>
    </w:p>
  </w:endnote>
  <w:endnote w:type="continuationSeparator" w:id="0">
    <w:p w14:paraId="6E905170" w14:textId="77777777" w:rsidR="00AB342B" w:rsidRDefault="00AB342B" w:rsidP="00BB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F27D5" w14:textId="77777777" w:rsidR="00AB342B" w:rsidRDefault="00AB342B" w:rsidP="00BB563D">
      <w:pPr>
        <w:spacing w:after="0" w:line="240" w:lineRule="auto"/>
      </w:pPr>
      <w:r>
        <w:separator/>
      </w:r>
    </w:p>
  </w:footnote>
  <w:footnote w:type="continuationSeparator" w:id="0">
    <w:p w14:paraId="534FE66B" w14:textId="77777777" w:rsidR="00AB342B" w:rsidRDefault="00AB342B" w:rsidP="00BB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7B58"/>
    <w:multiLevelType w:val="hybridMultilevel"/>
    <w:tmpl w:val="76E22AB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C67031"/>
    <w:multiLevelType w:val="hybridMultilevel"/>
    <w:tmpl w:val="93046B0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483A"/>
    <w:multiLevelType w:val="hybridMultilevel"/>
    <w:tmpl w:val="E02A5370"/>
    <w:lvl w:ilvl="0" w:tplc="B582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D3998"/>
    <w:multiLevelType w:val="hybridMultilevel"/>
    <w:tmpl w:val="63CAC36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61A7"/>
    <w:multiLevelType w:val="hybridMultilevel"/>
    <w:tmpl w:val="233640D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3C"/>
    <w:rsid w:val="0001137B"/>
    <w:rsid w:val="00011B62"/>
    <w:rsid w:val="00021CBF"/>
    <w:rsid w:val="00026D30"/>
    <w:rsid w:val="00040065"/>
    <w:rsid w:val="0004149D"/>
    <w:rsid w:val="000521B7"/>
    <w:rsid w:val="0005296E"/>
    <w:rsid w:val="000608E7"/>
    <w:rsid w:val="00064A2E"/>
    <w:rsid w:val="000749EF"/>
    <w:rsid w:val="00075B64"/>
    <w:rsid w:val="00080A61"/>
    <w:rsid w:val="00083942"/>
    <w:rsid w:val="0008597B"/>
    <w:rsid w:val="00091059"/>
    <w:rsid w:val="000B29C0"/>
    <w:rsid w:val="000B3A35"/>
    <w:rsid w:val="000D19C0"/>
    <w:rsid w:val="000E337E"/>
    <w:rsid w:val="000F5685"/>
    <w:rsid w:val="00106DF5"/>
    <w:rsid w:val="0011251F"/>
    <w:rsid w:val="001136BE"/>
    <w:rsid w:val="00113EC0"/>
    <w:rsid w:val="00115DB6"/>
    <w:rsid w:val="00123556"/>
    <w:rsid w:val="00126A3A"/>
    <w:rsid w:val="00147694"/>
    <w:rsid w:val="00153D81"/>
    <w:rsid w:val="00153FAA"/>
    <w:rsid w:val="00192186"/>
    <w:rsid w:val="0019639A"/>
    <w:rsid w:val="00196B32"/>
    <w:rsid w:val="001A1901"/>
    <w:rsid w:val="001A745F"/>
    <w:rsid w:val="001B11A4"/>
    <w:rsid w:val="001B53BB"/>
    <w:rsid w:val="001C29C6"/>
    <w:rsid w:val="001C4E72"/>
    <w:rsid w:val="001D3D27"/>
    <w:rsid w:val="001E14E2"/>
    <w:rsid w:val="002001AE"/>
    <w:rsid w:val="00207F89"/>
    <w:rsid w:val="00222C75"/>
    <w:rsid w:val="00232316"/>
    <w:rsid w:val="0024363E"/>
    <w:rsid w:val="002437EC"/>
    <w:rsid w:val="002447E2"/>
    <w:rsid w:val="0024717B"/>
    <w:rsid w:val="0025603F"/>
    <w:rsid w:val="0026573C"/>
    <w:rsid w:val="0026613A"/>
    <w:rsid w:val="00275330"/>
    <w:rsid w:val="00294FF0"/>
    <w:rsid w:val="00297257"/>
    <w:rsid w:val="002B5DE4"/>
    <w:rsid w:val="002C2CB0"/>
    <w:rsid w:val="002C7BA3"/>
    <w:rsid w:val="002D0E22"/>
    <w:rsid w:val="002D3465"/>
    <w:rsid w:val="002E5032"/>
    <w:rsid w:val="002F08C1"/>
    <w:rsid w:val="002F29EC"/>
    <w:rsid w:val="002F7A3A"/>
    <w:rsid w:val="003011DC"/>
    <w:rsid w:val="00310E5C"/>
    <w:rsid w:val="003160FB"/>
    <w:rsid w:val="00323CB5"/>
    <w:rsid w:val="00330300"/>
    <w:rsid w:val="00346960"/>
    <w:rsid w:val="003542D1"/>
    <w:rsid w:val="00360BC7"/>
    <w:rsid w:val="00371B99"/>
    <w:rsid w:val="00381BF3"/>
    <w:rsid w:val="003875B4"/>
    <w:rsid w:val="003A5938"/>
    <w:rsid w:val="003B0149"/>
    <w:rsid w:val="003B2045"/>
    <w:rsid w:val="003C0C9C"/>
    <w:rsid w:val="003C4D8A"/>
    <w:rsid w:val="003E03A4"/>
    <w:rsid w:val="003E436D"/>
    <w:rsid w:val="003F1F56"/>
    <w:rsid w:val="003F7622"/>
    <w:rsid w:val="00421DDA"/>
    <w:rsid w:val="004250C3"/>
    <w:rsid w:val="00432183"/>
    <w:rsid w:val="004344DA"/>
    <w:rsid w:val="00435E60"/>
    <w:rsid w:val="00440A27"/>
    <w:rsid w:val="00440A44"/>
    <w:rsid w:val="00443EC2"/>
    <w:rsid w:val="00444E59"/>
    <w:rsid w:val="00451F59"/>
    <w:rsid w:val="00453791"/>
    <w:rsid w:val="00455AF5"/>
    <w:rsid w:val="00464366"/>
    <w:rsid w:val="00471C0F"/>
    <w:rsid w:val="00480DDA"/>
    <w:rsid w:val="00482A14"/>
    <w:rsid w:val="0048443D"/>
    <w:rsid w:val="00492B3F"/>
    <w:rsid w:val="00495951"/>
    <w:rsid w:val="004A2E25"/>
    <w:rsid w:val="004A2F07"/>
    <w:rsid w:val="004B114C"/>
    <w:rsid w:val="004D35CF"/>
    <w:rsid w:val="004E1919"/>
    <w:rsid w:val="004E7015"/>
    <w:rsid w:val="00504EF2"/>
    <w:rsid w:val="0050744E"/>
    <w:rsid w:val="005132BC"/>
    <w:rsid w:val="00544277"/>
    <w:rsid w:val="00544B3F"/>
    <w:rsid w:val="005561B2"/>
    <w:rsid w:val="00571EA0"/>
    <w:rsid w:val="00582942"/>
    <w:rsid w:val="00587C3D"/>
    <w:rsid w:val="00592ABF"/>
    <w:rsid w:val="00593490"/>
    <w:rsid w:val="00596B9A"/>
    <w:rsid w:val="005A3AB7"/>
    <w:rsid w:val="005A4FFF"/>
    <w:rsid w:val="005C1DD0"/>
    <w:rsid w:val="005C4D4A"/>
    <w:rsid w:val="005D4174"/>
    <w:rsid w:val="005D7DF9"/>
    <w:rsid w:val="005E0600"/>
    <w:rsid w:val="005E23C1"/>
    <w:rsid w:val="005E341E"/>
    <w:rsid w:val="005F387D"/>
    <w:rsid w:val="005F44B6"/>
    <w:rsid w:val="00610D58"/>
    <w:rsid w:val="006252D0"/>
    <w:rsid w:val="00634AD4"/>
    <w:rsid w:val="00636513"/>
    <w:rsid w:val="00645521"/>
    <w:rsid w:val="00656D1F"/>
    <w:rsid w:val="00666EB8"/>
    <w:rsid w:val="006725B4"/>
    <w:rsid w:val="00675553"/>
    <w:rsid w:val="006800DF"/>
    <w:rsid w:val="00681381"/>
    <w:rsid w:val="00682522"/>
    <w:rsid w:val="00691000"/>
    <w:rsid w:val="006A446A"/>
    <w:rsid w:val="006B49FD"/>
    <w:rsid w:val="006B7D5D"/>
    <w:rsid w:val="006D4143"/>
    <w:rsid w:val="006D764D"/>
    <w:rsid w:val="006E4419"/>
    <w:rsid w:val="006E46D7"/>
    <w:rsid w:val="00703E04"/>
    <w:rsid w:val="00706C98"/>
    <w:rsid w:val="00714458"/>
    <w:rsid w:val="00732C30"/>
    <w:rsid w:val="00747D2E"/>
    <w:rsid w:val="00747D8A"/>
    <w:rsid w:val="00754362"/>
    <w:rsid w:val="00757166"/>
    <w:rsid w:val="0077749F"/>
    <w:rsid w:val="0079509A"/>
    <w:rsid w:val="007A67EF"/>
    <w:rsid w:val="007B4661"/>
    <w:rsid w:val="007C3D75"/>
    <w:rsid w:val="007C432C"/>
    <w:rsid w:val="007C6A92"/>
    <w:rsid w:val="007D0068"/>
    <w:rsid w:val="007D1CA8"/>
    <w:rsid w:val="007E108A"/>
    <w:rsid w:val="007E18F3"/>
    <w:rsid w:val="007F15FC"/>
    <w:rsid w:val="007F64C0"/>
    <w:rsid w:val="007F73A1"/>
    <w:rsid w:val="00803D7D"/>
    <w:rsid w:val="00810F30"/>
    <w:rsid w:val="00827B19"/>
    <w:rsid w:val="008307C8"/>
    <w:rsid w:val="00830C06"/>
    <w:rsid w:val="00832D26"/>
    <w:rsid w:val="00852CC6"/>
    <w:rsid w:val="00860EFE"/>
    <w:rsid w:val="008717CD"/>
    <w:rsid w:val="00871A6F"/>
    <w:rsid w:val="0088159E"/>
    <w:rsid w:val="00883F00"/>
    <w:rsid w:val="008A105F"/>
    <w:rsid w:val="008B2E09"/>
    <w:rsid w:val="008B6A7A"/>
    <w:rsid w:val="008C3615"/>
    <w:rsid w:val="008C3835"/>
    <w:rsid w:val="008C784D"/>
    <w:rsid w:val="00900733"/>
    <w:rsid w:val="00902801"/>
    <w:rsid w:val="00904612"/>
    <w:rsid w:val="00906CF5"/>
    <w:rsid w:val="00914E94"/>
    <w:rsid w:val="00923D01"/>
    <w:rsid w:val="00926DA7"/>
    <w:rsid w:val="00934FB2"/>
    <w:rsid w:val="009467B5"/>
    <w:rsid w:val="00952519"/>
    <w:rsid w:val="009652BB"/>
    <w:rsid w:val="009754DF"/>
    <w:rsid w:val="009850C0"/>
    <w:rsid w:val="0098774B"/>
    <w:rsid w:val="009A1A07"/>
    <w:rsid w:val="009A2435"/>
    <w:rsid w:val="009B1D98"/>
    <w:rsid w:val="009B4CE1"/>
    <w:rsid w:val="009D5CCA"/>
    <w:rsid w:val="009E4731"/>
    <w:rsid w:val="009F4202"/>
    <w:rsid w:val="00A139C5"/>
    <w:rsid w:val="00A177C6"/>
    <w:rsid w:val="00A2430F"/>
    <w:rsid w:val="00A270C6"/>
    <w:rsid w:val="00A33761"/>
    <w:rsid w:val="00A5075F"/>
    <w:rsid w:val="00A5606C"/>
    <w:rsid w:val="00A67194"/>
    <w:rsid w:val="00A67F00"/>
    <w:rsid w:val="00A74788"/>
    <w:rsid w:val="00A748F9"/>
    <w:rsid w:val="00A81FCA"/>
    <w:rsid w:val="00A83E24"/>
    <w:rsid w:val="00A85D31"/>
    <w:rsid w:val="00A90440"/>
    <w:rsid w:val="00A96D6C"/>
    <w:rsid w:val="00AA258F"/>
    <w:rsid w:val="00AB0EFC"/>
    <w:rsid w:val="00AB342B"/>
    <w:rsid w:val="00AB55F3"/>
    <w:rsid w:val="00AD6969"/>
    <w:rsid w:val="00AE17BD"/>
    <w:rsid w:val="00AE309D"/>
    <w:rsid w:val="00AE547C"/>
    <w:rsid w:val="00B030F0"/>
    <w:rsid w:val="00B11B5D"/>
    <w:rsid w:val="00B13102"/>
    <w:rsid w:val="00B16E30"/>
    <w:rsid w:val="00B3162F"/>
    <w:rsid w:val="00B3713A"/>
    <w:rsid w:val="00B41FED"/>
    <w:rsid w:val="00B465DC"/>
    <w:rsid w:val="00B5267C"/>
    <w:rsid w:val="00B6412B"/>
    <w:rsid w:val="00B7279B"/>
    <w:rsid w:val="00B7726B"/>
    <w:rsid w:val="00B8141B"/>
    <w:rsid w:val="00B81955"/>
    <w:rsid w:val="00B846D3"/>
    <w:rsid w:val="00BA4384"/>
    <w:rsid w:val="00BB563D"/>
    <w:rsid w:val="00BD00A2"/>
    <w:rsid w:val="00BD2900"/>
    <w:rsid w:val="00BD627C"/>
    <w:rsid w:val="00BE2958"/>
    <w:rsid w:val="00BE30BB"/>
    <w:rsid w:val="00BE5613"/>
    <w:rsid w:val="00BF312F"/>
    <w:rsid w:val="00BF6989"/>
    <w:rsid w:val="00C00616"/>
    <w:rsid w:val="00C04EF3"/>
    <w:rsid w:val="00C16A0A"/>
    <w:rsid w:val="00C16CE1"/>
    <w:rsid w:val="00C22B8E"/>
    <w:rsid w:val="00C40D5A"/>
    <w:rsid w:val="00C50027"/>
    <w:rsid w:val="00C53828"/>
    <w:rsid w:val="00C55615"/>
    <w:rsid w:val="00C56F68"/>
    <w:rsid w:val="00C6063A"/>
    <w:rsid w:val="00C63EB4"/>
    <w:rsid w:val="00C81A44"/>
    <w:rsid w:val="00CA16D8"/>
    <w:rsid w:val="00CA24F1"/>
    <w:rsid w:val="00CA4D85"/>
    <w:rsid w:val="00CB0993"/>
    <w:rsid w:val="00CB3993"/>
    <w:rsid w:val="00CB79AD"/>
    <w:rsid w:val="00CC1695"/>
    <w:rsid w:val="00CD23BA"/>
    <w:rsid w:val="00CD24EB"/>
    <w:rsid w:val="00CD34A0"/>
    <w:rsid w:val="00CD6E77"/>
    <w:rsid w:val="00CE5D2C"/>
    <w:rsid w:val="00CF25D5"/>
    <w:rsid w:val="00D124A4"/>
    <w:rsid w:val="00D20632"/>
    <w:rsid w:val="00D25616"/>
    <w:rsid w:val="00D259A4"/>
    <w:rsid w:val="00D418EB"/>
    <w:rsid w:val="00D44364"/>
    <w:rsid w:val="00D61182"/>
    <w:rsid w:val="00D6430C"/>
    <w:rsid w:val="00D7217E"/>
    <w:rsid w:val="00D907CB"/>
    <w:rsid w:val="00D92068"/>
    <w:rsid w:val="00D923D8"/>
    <w:rsid w:val="00D927BF"/>
    <w:rsid w:val="00DD4715"/>
    <w:rsid w:val="00DD62E6"/>
    <w:rsid w:val="00DE2088"/>
    <w:rsid w:val="00DF7D11"/>
    <w:rsid w:val="00E00088"/>
    <w:rsid w:val="00E4285D"/>
    <w:rsid w:val="00E430C0"/>
    <w:rsid w:val="00E53F07"/>
    <w:rsid w:val="00E552B9"/>
    <w:rsid w:val="00E738D9"/>
    <w:rsid w:val="00E77D09"/>
    <w:rsid w:val="00EA6D2F"/>
    <w:rsid w:val="00EB537D"/>
    <w:rsid w:val="00EC23CF"/>
    <w:rsid w:val="00EC4D0F"/>
    <w:rsid w:val="00EC5F5C"/>
    <w:rsid w:val="00EC7AC1"/>
    <w:rsid w:val="00EC7E2A"/>
    <w:rsid w:val="00ED3FE2"/>
    <w:rsid w:val="00EE680E"/>
    <w:rsid w:val="00EF5890"/>
    <w:rsid w:val="00F0702B"/>
    <w:rsid w:val="00F11831"/>
    <w:rsid w:val="00F23D60"/>
    <w:rsid w:val="00F37655"/>
    <w:rsid w:val="00F40B53"/>
    <w:rsid w:val="00F415E6"/>
    <w:rsid w:val="00F57A59"/>
    <w:rsid w:val="00F64C8F"/>
    <w:rsid w:val="00F67210"/>
    <w:rsid w:val="00F700D0"/>
    <w:rsid w:val="00F72FEA"/>
    <w:rsid w:val="00F80150"/>
    <w:rsid w:val="00F92C82"/>
    <w:rsid w:val="00F94C58"/>
    <w:rsid w:val="00FA4EFE"/>
    <w:rsid w:val="00FD7C8D"/>
    <w:rsid w:val="00FE2F30"/>
    <w:rsid w:val="00FE36E6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39D9"/>
  <w15:chartTrackingRefBased/>
  <w15:docId w15:val="{BFAB9047-4F4F-40E9-99F1-C3061A8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D2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B56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6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6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5603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mi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2157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Martínez Santiago</dc:creator>
  <cp:keywords/>
  <dc:description/>
  <cp:lastModifiedBy>HP</cp:lastModifiedBy>
  <cp:revision>2</cp:revision>
  <dcterms:created xsi:type="dcterms:W3CDTF">2022-10-14T13:39:00Z</dcterms:created>
  <dcterms:modified xsi:type="dcterms:W3CDTF">2022-10-14T13:39:00Z</dcterms:modified>
</cp:coreProperties>
</file>